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B6A4" w14:textId="77777777" w:rsidR="009071F5" w:rsidRDefault="009071F5" w:rsidP="00CB152D">
      <w:pPr>
        <w:pStyle w:val="Default"/>
        <w:jc w:val="center"/>
        <w:rPr>
          <w:rFonts w:asciiTheme="minorHAnsi" w:hAnsiTheme="minorHAnsi" w:cstheme="minorHAnsi"/>
          <w:b/>
          <w:bCs/>
          <w:sz w:val="36"/>
          <w:szCs w:val="36"/>
        </w:rPr>
      </w:pPr>
    </w:p>
    <w:p w14:paraId="230A86C6" w14:textId="77777777" w:rsidR="00CB152D" w:rsidRPr="009071F5" w:rsidRDefault="00976A2C" w:rsidP="00C44585">
      <w:pPr>
        <w:pStyle w:val="Default"/>
        <w:jc w:val="center"/>
        <w:rPr>
          <w:rFonts w:asciiTheme="minorHAnsi" w:hAnsiTheme="minorHAnsi" w:cstheme="minorHAnsi"/>
          <w:noProof/>
          <w:sz w:val="36"/>
          <w:szCs w:val="36"/>
        </w:rPr>
      </w:pPr>
      <w:r w:rsidRPr="009071F5">
        <w:rPr>
          <w:rFonts w:asciiTheme="minorHAnsi" w:hAnsiTheme="minorHAnsi" w:cstheme="minorHAnsi"/>
          <w:b/>
          <w:bCs/>
          <w:sz w:val="36"/>
          <w:szCs w:val="36"/>
        </w:rPr>
        <w:t>Dotační program OP</w:t>
      </w:r>
      <w:r w:rsidR="00C44585">
        <w:rPr>
          <w:rFonts w:asciiTheme="minorHAnsi" w:hAnsiTheme="minorHAnsi" w:cstheme="minorHAnsi"/>
          <w:b/>
          <w:bCs/>
          <w:sz w:val="36"/>
          <w:szCs w:val="36"/>
        </w:rPr>
        <w:t>-</w:t>
      </w:r>
      <w:r w:rsidRPr="009071F5">
        <w:rPr>
          <w:rFonts w:asciiTheme="minorHAnsi" w:hAnsiTheme="minorHAnsi" w:cstheme="minorHAnsi"/>
          <w:b/>
          <w:bCs/>
          <w:sz w:val="36"/>
          <w:szCs w:val="36"/>
        </w:rPr>
        <w:t>TAK</w:t>
      </w:r>
      <w:r w:rsidR="00C44585">
        <w:rPr>
          <w:rFonts w:asciiTheme="minorHAnsi" w:hAnsiTheme="minorHAnsi" w:cstheme="minorHAnsi"/>
          <w:b/>
          <w:bCs/>
          <w:sz w:val="36"/>
          <w:szCs w:val="36"/>
        </w:rPr>
        <w:t xml:space="preserve">: </w:t>
      </w:r>
      <w:r w:rsidRPr="009071F5">
        <w:rPr>
          <w:rFonts w:asciiTheme="minorHAnsi" w:hAnsiTheme="minorHAnsi" w:cstheme="minorHAnsi"/>
          <w:b/>
          <w:bCs/>
          <w:sz w:val="36"/>
          <w:szCs w:val="36"/>
        </w:rPr>
        <w:t>TECHNOLOGIE pro MAS</w:t>
      </w:r>
    </w:p>
    <w:p w14:paraId="65E1218F" w14:textId="77777777" w:rsidR="00CB152D" w:rsidRPr="009071F5" w:rsidRDefault="00CB152D" w:rsidP="00CB152D">
      <w:pPr>
        <w:jc w:val="center"/>
        <w:rPr>
          <w:rFonts w:cstheme="minorHAnsi"/>
        </w:rPr>
      </w:pPr>
      <w:r w:rsidRPr="009071F5">
        <w:rPr>
          <w:rFonts w:cstheme="minorHAnsi"/>
        </w:rPr>
        <w:t>Výtah základních podmínek</w:t>
      </w:r>
    </w:p>
    <w:p w14:paraId="08D15DAB" w14:textId="77777777" w:rsidR="00895C54" w:rsidRPr="009071F5" w:rsidRDefault="00895C54" w:rsidP="00CB152D">
      <w:pPr>
        <w:jc w:val="center"/>
        <w:rPr>
          <w:rFonts w:cstheme="minorHAnsi"/>
        </w:rPr>
      </w:pPr>
      <w:r w:rsidRPr="009071F5">
        <w:rPr>
          <w:rFonts w:cstheme="minorHAnsi"/>
        </w:rPr>
        <w:t xml:space="preserve">Podrobná dokumentace: </w:t>
      </w:r>
      <w:hyperlink r:id="rId7" w:history="1">
        <w:r w:rsidR="00976A2C" w:rsidRPr="00FC1B42">
          <w:rPr>
            <w:rStyle w:val="Hypertextovodkaz"/>
            <w:rFonts w:cstheme="minorHAnsi"/>
            <w:sz w:val="18"/>
            <w:szCs w:val="18"/>
          </w:rPr>
          <w:t>https://www.mpo.cz/cz/po</w:t>
        </w:r>
        <w:r w:rsidR="00976A2C" w:rsidRPr="00FC1B42">
          <w:rPr>
            <w:rStyle w:val="Hypertextovodkaz"/>
            <w:rFonts w:cstheme="minorHAnsi"/>
            <w:sz w:val="18"/>
            <w:szCs w:val="18"/>
          </w:rPr>
          <w:t>d</w:t>
        </w:r>
        <w:r w:rsidR="00976A2C" w:rsidRPr="00FC1B42">
          <w:rPr>
            <w:rStyle w:val="Hypertextovodkaz"/>
            <w:rFonts w:cstheme="minorHAnsi"/>
            <w:sz w:val="18"/>
            <w:szCs w:val="18"/>
          </w:rPr>
          <w:t>nikani/dotace-a-podpora-podnikani/optak-2021-2027/aktivity/technologie/technologie-pro-mas-clld-_-vyzva-i---273477/</w:t>
        </w:r>
      </w:hyperlink>
      <w:r w:rsidR="00976A2C" w:rsidRPr="009071F5">
        <w:rPr>
          <w:rFonts w:cstheme="minorHAnsi"/>
        </w:rPr>
        <w:t xml:space="preserve"> </w:t>
      </w:r>
    </w:p>
    <w:p w14:paraId="6303201E" w14:textId="77777777" w:rsidR="009071F5" w:rsidRPr="009071F5" w:rsidRDefault="009071F5" w:rsidP="009071F5">
      <w:pPr>
        <w:rPr>
          <w:rFonts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226"/>
        <w:gridCol w:w="5954"/>
      </w:tblGrid>
      <w:tr w:rsidR="00FC1B42" w:rsidRPr="009071F5" w14:paraId="2587C107" w14:textId="77777777" w:rsidTr="00DC69F4">
        <w:trPr>
          <w:trHeight w:val="470"/>
        </w:trPr>
        <w:tc>
          <w:tcPr>
            <w:tcW w:w="3226" w:type="dxa"/>
          </w:tcPr>
          <w:p w14:paraId="09F4052E" w14:textId="54992ECE" w:rsidR="00FC1B42" w:rsidRPr="009071F5" w:rsidRDefault="00FC1B42" w:rsidP="00DC69F4">
            <w:pPr>
              <w:pStyle w:val="Default"/>
              <w:rPr>
                <w:rFonts w:asciiTheme="minorHAnsi" w:hAnsiTheme="minorHAnsi" w:cstheme="minorHAnsi"/>
                <w:b/>
                <w:bCs/>
                <w:sz w:val="22"/>
                <w:szCs w:val="22"/>
              </w:rPr>
            </w:pPr>
            <w:r>
              <w:rPr>
                <w:rFonts w:asciiTheme="minorHAnsi" w:hAnsiTheme="minorHAnsi" w:cstheme="minorHAnsi"/>
                <w:b/>
                <w:bCs/>
                <w:sz w:val="22"/>
                <w:szCs w:val="22"/>
              </w:rPr>
              <w:t xml:space="preserve">Alokace pro území MAS </w:t>
            </w:r>
          </w:p>
        </w:tc>
        <w:tc>
          <w:tcPr>
            <w:tcW w:w="5954" w:type="dxa"/>
          </w:tcPr>
          <w:p w14:paraId="717766DC" w14:textId="4C5ACC9E" w:rsidR="00FC1B42" w:rsidRPr="00FC1B42" w:rsidRDefault="00FF62C8" w:rsidP="00DC69F4">
            <w:pPr>
              <w:pStyle w:val="Default"/>
              <w:rPr>
                <w:rFonts w:asciiTheme="minorHAnsi" w:hAnsiTheme="minorHAnsi" w:cstheme="minorHAnsi"/>
                <w:b/>
                <w:sz w:val="22"/>
                <w:szCs w:val="22"/>
              </w:rPr>
            </w:pPr>
            <w:r>
              <w:rPr>
                <w:rFonts w:asciiTheme="minorHAnsi" w:hAnsiTheme="minorHAnsi" w:cstheme="minorHAnsi"/>
                <w:b/>
                <w:sz w:val="22"/>
                <w:szCs w:val="22"/>
              </w:rPr>
              <w:t>1.140.000</w:t>
            </w:r>
            <w:r w:rsidR="00FC1B42" w:rsidRPr="00FC1B42">
              <w:rPr>
                <w:rFonts w:asciiTheme="minorHAnsi" w:hAnsiTheme="minorHAnsi" w:cstheme="minorHAnsi"/>
                <w:b/>
                <w:sz w:val="22"/>
                <w:szCs w:val="22"/>
              </w:rPr>
              <w:t xml:space="preserve">,- Kč </w:t>
            </w:r>
          </w:p>
          <w:p w14:paraId="0CB20C1F" w14:textId="13A569BC" w:rsidR="00FC1B42" w:rsidRPr="00FC1B42" w:rsidRDefault="00FC1B42" w:rsidP="00DC69F4">
            <w:pPr>
              <w:pStyle w:val="Default"/>
              <w:rPr>
                <w:rFonts w:asciiTheme="minorHAnsi" w:hAnsiTheme="minorHAnsi" w:cstheme="minorHAnsi"/>
                <w:sz w:val="18"/>
                <w:szCs w:val="18"/>
              </w:rPr>
            </w:pPr>
          </w:p>
        </w:tc>
      </w:tr>
      <w:tr w:rsidR="009071F5" w:rsidRPr="009071F5" w14:paraId="4B00E083" w14:textId="77777777" w:rsidTr="00DC69F4">
        <w:trPr>
          <w:trHeight w:val="470"/>
        </w:trPr>
        <w:tc>
          <w:tcPr>
            <w:tcW w:w="3226" w:type="dxa"/>
          </w:tcPr>
          <w:p w14:paraId="6404F31F" w14:textId="0FA27C16" w:rsidR="009071F5" w:rsidRPr="009071F5" w:rsidRDefault="009071F5" w:rsidP="00DC69F4">
            <w:pPr>
              <w:pStyle w:val="Default"/>
              <w:rPr>
                <w:rFonts w:asciiTheme="minorHAnsi" w:hAnsiTheme="minorHAnsi" w:cstheme="minorHAnsi"/>
                <w:sz w:val="22"/>
                <w:szCs w:val="22"/>
              </w:rPr>
            </w:pPr>
            <w:r w:rsidRPr="009071F5">
              <w:rPr>
                <w:rFonts w:asciiTheme="minorHAnsi" w:hAnsiTheme="minorHAnsi" w:cstheme="minorHAnsi"/>
                <w:b/>
                <w:bCs/>
                <w:sz w:val="22"/>
                <w:szCs w:val="22"/>
              </w:rPr>
              <w:t xml:space="preserve">celkových způsobilých výdajů na projekt </w:t>
            </w:r>
          </w:p>
        </w:tc>
        <w:tc>
          <w:tcPr>
            <w:tcW w:w="5954" w:type="dxa"/>
          </w:tcPr>
          <w:p w14:paraId="07B1CC8D" w14:textId="77777777" w:rsidR="009071F5" w:rsidRPr="009071F5" w:rsidRDefault="009071F5" w:rsidP="00DC69F4">
            <w:pPr>
              <w:pStyle w:val="Default"/>
              <w:rPr>
                <w:rFonts w:asciiTheme="minorHAnsi" w:hAnsiTheme="minorHAnsi" w:cstheme="minorHAnsi"/>
                <w:sz w:val="22"/>
                <w:szCs w:val="22"/>
              </w:rPr>
            </w:pPr>
            <w:r w:rsidRPr="009071F5">
              <w:rPr>
                <w:rFonts w:asciiTheme="minorHAnsi" w:hAnsiTheme="minorHAnsi" w:cstheme="minorHAnsi"/>
                <w:sz w:val="22"/>
                <w:szCs w:val="22"/>
              </w:rPr>
              <w:t>Maximální výše: stanoví MAS, max. však 2 mil. Kč</w:t>
            </w:r>
          </w:p>
        </w:tc>
      </w:tr>
      <w:tr w:rsidR="009071F5" w:rsidRPr="009071F5" w14:paraId="08631B61" w14:textId="77777777" w:rsidTr="00FC1B42">
        <w:trPr>
          <w:trHeight w:val="148"/>
        </w:trPr>
        <w:tc>
          <w:tcPr>
            <w:tcW w:w="3226" w:type="dxa"/>
          </w:tcPr>
          <w:p w14:paraId="7BB1F0A1" w14:textId="77777777" w:rsidR="009071F5" w:rsidRPr="009071F5" w:rsidRDefault="009071F5" w:rsidP="00DC69F4">
            <w:pPr>
              <w:pStyle w:val="Default"/>
              <w:rPr>
                <w:rFonts w:asciiTheme="minorHAnsi" w:hAnsiTheme="minorHAnsi" w:cstheme="minorHAnsi"/>
                <w:b/>
                <w:bCs/>
                <w:sz w:val="22"/>
                <w:szCs w:val="22"/>
              </w:rPr>
            </w:pPr>
            <w:r w:rsidRPr="009071F5">
              <w:rPr>
                <w:rFonts w:asciiTheme="minorHAnsi" w:hAnsiTheme="minorHAnsi" w:cstheme="minorHAnsi"/>
                <w:b/>
                <w:bCs/>
                <w:sz w:val="22"/>
                <w:szCs w:val="22"/>
              </w:rPr>
              <w:t>Míra dotace</w:t>
            </w:r>
          </w:p>
        </w:tc>
        <w:tc>
          <w:tcPr>
            <w:tcW w:w="5954" w:type="dxa"/>
          </w:tcPr>
          <w:p w14:paraId="74695808" w14:textId="77777777" w:rsidR="009071F5" w:rsidRPr="009071F5" w:rsidRDefault="009071F5" w:rsidP="00DC69F4">
            <w:pPr>
              <w:pStyle w:val="Default"/>
              <w:rPr>
                <w:rFonts w:asciiTheme="minorHAnsi" w:hAnsiTheme="minorHAnsi" w:cstheme="minorHAnsi"/>
                <w:sz w:val="22"/>
                <w:szCs w:val="22"/>
              </w:rPr>
            </w:pPr>
            <w:r w:rsidRPr="009071F5">
              <w:rPr>
                <w:rFonts w:asciiTheme="minorHAnsi" w:hAnsiTheme="minorHAnsi" w:cstheme="minorHAnsi"/>
                <w:sz w:val="22"/>
                <w:szCs w:val="22"/>
              </w:rPr>
              <w:t>50%</w:t>
            </w:r>
          </w:p>
        </w:tc>
      </w:tr>
    </w:tbl>
    <w:p w14:paraId="5D1DFE13" w14:textId="77777777" w:rsidR="009071F5" w:rsidRPr="009071F5" w:rsidRDefault="009071F5" w:rsidP="00976A2C">
      <w:pPr>
        <w:autoSpaceDE w:val="0"/>
        <w:autoSpaceDN w:val="0"/>
        <w:adjustRightInd w:val="0"/>
        <w:spacing w:after="0" w:line="240" w:lineRule="auto"/>
        <w:rPr>
          <w:rFonts w:cstheme="minorHAnsi"/>
          <w:b/>
          <w:bCs/>
          <w:color w:val="0070C0"/>
          <w:sz w:val="40"/>
          <w:szCs w:val="40"/>
        </w:rPr>
      </w:pPr>
    </w:p>
    <w:p w14:paraId="62A914B0" w14:textId="77777777" w:rsidR="00976A2C" w:rsidRPr="009071F5" w:rsidRDefault="00976A2C" w:rsidP="00976A2C">
      <w:pPr>
        <w:autoSpaceDE w:val="0"/>
        <w:autoSpaceDN w:val="0"/>
        <w:adjustRightInd w:val="0"/>
        <w:spacing w:after="0" w:line="240" w:lineRule="auto"/>
        <w:rPr>
          <w:rFonts w:cstheme="minorHAnsi"/>
          <w:b/>
          <w:bCs/>
          <w:color w:val="0070C0"/>
          <w:sz w:val="40"/>
          <w:szCs w:val="40"/>
        </w:rPr>
      </w:pPr>
      <w:r w:rsidRPr="009071F5">
        <w:rPr>
          <w:rFonts w:cstheme="minorHAnsi"/>
          <w:b/>
          <w:bCs/>
          <w:color w:val="0070C0"/>
          <w:sz w:val="40"/>
          <w:szCs w:val="40"/>
        </w:rPr>
        <w:t xml:space="preserve">Podporované aktivity </w:t>
      </w:r>
    </w:p>
    <w:p w14:paraId="0B8B9276" w14:textId="77777777" w:rsidR="000B26BE" w:rsidRPr="009071F5" w:rsidRDefault="00976A2C" w:rsidP="00976A2C">
      <w:pPr>
        <w:autoSpaceDE w:val="0"/>
        <w:autoSpaceDN w:val="0"/>
        <w:adjustRightInd w:val="0"/>
        <w:spacing w:after="0" w:line="240" w:lineRule="auto"/>
        <w:jc w:val="both"/>
        <w:rPr>
          <w:rFonts w:cstheme="minorHAnsi"/>
          <w:color w:val="000000"/>
        </w:rPr>
      </w:pPr>
      <w:r w:rsidRPr="009071F5">
        <w:rPr>
          <w:rFonts w:cstheme="minorHAnsi"/>
          <w:color w:val="000000"/>
        </w:rPr>
        <w:t>Pořízení nových technologických zařízení a vybavení vč. potřebné infrastruktury, dále pořízení výrobních strojů a zařízení, které nejen zvýší technologickou úroveň MSP a jejich konkurenceschopnost, ale také digitalizaci a automatizaci výroby a zefektivní poskytování služeb nebo vytvoří podmínky pro jejich zavedení.</w:t>
      </w:r>
    </w:p>
    <w:p w14:paraId="047E6946" w14:textId="77777777" w:rsidR="00C51BB5" w:rsidRPr="009071F5" w:rsidRDefault="00C51BB5" w:rsidP="00976A2C">
      <w:pPr>
        <w:autoSpaceDE w:val="0"/>
        <w:autoSpaceDN w:val="0"/>
        <w:adjustRightInd w:val="0"/>
        <w:spacing w:after="0" w:line="240" w:lineRule="auto"/>
        <w:jc w:val="both"/>
        <w:rPr>
          <w:rFonts w:cstheme="minorHAnsi"/>
          <w:color w:val="000000"/>
        </w:rPr>
      </w:pPr>
    </w:p>
    <w:p w14:paraId="009962F2" w14:textId="77777777" w:rsidR="00C51BB5" w:rsidRPr="009071F5" w:rsidRDefault="00C51BB5" w:rsidP="00C51BB5">
      <w:pPr>
        <w:autoSpaceDE w:val="0"/>
        <w:autoSpaceDN w:val="0"/>
        <w:adjustRightInd w:val="0"/>
        <w:spacing w:after="0" w:line="240" w:lineRule="auto"/>
        <w:rPr>
          <w:rFonts w:cstheme="minorHAnsi"/>
          <w:color w:val="000000"/>
        </w:rPr>
      </w:pPr>
      <w:r w:rsidRPr="009071F5">
        <w:rPr>
          <w:rFonts w:cstheme="minorHAnsi"/>
          <w:color w:val="000000"/>
        </w:rPr>
        <w:t xml:space="preserve">Jedná se o následující aktivity: </w:t>
      </w:r>
    </w:p>
    <w:p w14:paraId="1775A074" w14:textId="77777777" w:rsidR="00C51BB5" w:rsidRPr="009071F5" w:rsidRDefault="00C51BB5" w:rsidP="00C51BB5">
      <w:pPr>
        <w:numPr>
          <w:ilvl w:val="0"/>
          <w:numId w:val="1"/>
        </w:numPr>
        <w:autoSpaceDE w:val="0"/>
        <w:autoSpaceDN w:val="0"/>
        <w:adjustRightInd w:val="0"/>
        <w:spacing w:after="116" w:line="240" w:lineRule="auto"/>
        <w:rPr>
          <w:rFonts w:cstheme="minorHAnsi"/>
          <w:b/>
          <w:color w:val="000000"/>
        </w:rPr>
      </w:pPr>
      <w:r w:rsidRPr="009071F5">
        <w:rPr>
          <w:rFonts w:cstheme="minorHAnsi"/>
          <w:b/>
          <w:color w:val="000000"/>
        </w:rPr>
        <w:t xml:space="preserve">a) Robotizace, automatizace, digitalizace </w:t>
      </w:r>
    </w:p>
    <w:p w14:paraId="16994102" w14:textId="77777777" w:rsidR="00C51BB5" w:rsidRPr="009071F5" w:rsidRDefault="00C51BB5" w:rsidP="00C51BB5">
      <w:pPr>
        <w:autoSpaceDE w:val="0"/>
        <w:autoSpaceDN w:val="0"/>
        <w:adjustRightInd w:val="0"/>
        <w:spacing w:after="0" w:line="240" w:lineRule="auto"/>
        <w:jc w:val="both"/>
        <w:rPr>
          <w:rFonts w:cstheme="minorHAnsi"/>
          <w:color w:val="000000"/>
          <w:sz w:val="18"/>
          <w:szCs w:val="18"/>
        </w:rPr>
      </w:pPr>
      <w:r w:rsidRPr="009071F5">
        <w:rPr>
          <w:rFonts w:cstheme="minorHAnsi"/>
          <w:color w:val="000000"/>
          <w:sz w:val="18"/>
          <w:szCs w:val="18"/>
        </w:rPr>
        <w:t>ve smyslu implementace výrobních a nevýrobních technologií v podniku, prostřednictvím jejichž nákupu dojde k integraci robotizované manipulace (manipulátory, robotické ruky, automatické sklady, dopravníky, automatické zásobníky nástrojů atd.), automatizace vnitřních výrobních či nevýrobních procesů podniku za využití počítačových systémů (komunikační API, systémová automatizace atd.) a digitalizace vnitropodnikových procesů či vývoje produktu (CAD/CAM, systémy skladového hospodářství – WMS, EDI, ERP, MES, MIS, APS, nadstandartní moduly již implementovaných podnikových IS atd.), které vytvoří funkční propojený celek umožňující efektivnější řízení výroby a dalších vnitropodnikových procesů spolu s celkovým chodem podniku</w:t>
      </w:r>
    </w:p>
    <w:p w14:paraId="105FB7EB" w14:textId="77777777" w:rsidR="00C51BB5" w:rsidRPr="009071F5" w:rsidRDefault="00C51BB5" w:rsidP="00C51BB5">
      <w:pPr>
        <w:autoSpaceDE w:val="0"/>
        <w:autoSpaceDN w:val="0"/>
        <w:adjustRightInd w:val="0"/>
        <w:spacing w:after="0" w:line="240" w:lineRule="auto"/>
        <w:jc w:val="both"/>
        <w:rPr>
          <w:rFonts w:cstheme="minorHAnsi"/>
          <w:color w:val="000000"/>
        </w:rPr>
      </w:pPr>
    </w:p>
    <w:p w14:paraId="431F6775" w14:textId="77777777" w:rsidR="00C51BB5" w:rsidRPr="009071F5" w:rsidRDefault="00C51BB5" w:rsidP="00C51BB5">
      <w:pPr>
        <w:numPr>
          <w:ilvl w:val="0"/>
          <w:numId w:val="1"/>
        </w:numPr>
        <w:autoSpaceDE w:val="0"/>
        <w:autoSpaceDN w:val="0"/>
        <w:adjustRightInd w:val="0"/>
        <w:spacing w:after="116" w:line="240" w:lineRule="auto"/>
        <w:rPr>
          <w:rFonts w:cstheme="minorHAnsi"/>
          <w:b/>
          <w:color w:val="000000"/>
        </w:rPr>
      </w:pPr>
      <w:r w:rsidRPr="009071F5">
        <w:rPr>
          <w:rFonts w:cstheme="minorHAnsi"/>
          <w:b/>
          <w:color w:val="000000"/>
        </w:rPr>
        <w:t xml:space="preserve">b) Web, cloud </w:t>
      </w:r>
    </w:p>
    <w:p w14:paraId="26D0D4BA" w14:textId="77777777" w:rsidR="00C51BB5" w:rsidRPr="009071F5" w:rsidRDefault="00C51BB5" w:rsidP="00C51BB5">
      <w:pPr>
        <w:autoSpaceDE w:val="0"/>
        <w:autoSpaceDN w:val="0"/>
        <w:adjustRightInd w:val="0"/>
        <w:spacing w:after="0" w:line="240" w:lineRule="auto"/>
        <w:jc w:val="both"/>
        <w:rPr>
          <w:rFonts w:cstheme="minorHAnsi"/>
          <w:color w:val="000000"/>
          <w:sz w:val="18"/>
          <w:szCs w:val="18"/>
        </w:rPr>
      </w:pPr>
      <w:r w:rsidRPr="009071F5">
        <w:rPr>
          <w:rFonts w:cstheme="minorHAnsi"/>
          <w:color w:val="000000"/>
          <w:sz w:val="18"/>
          <w:szCs w:val="18"/>
        </w:rPr>
        <w:t>ve smyslu pořízení moderních webových stránek s internetovým obchodem, který bude integrovaný se skladovým hospodářstvím (případně s jinými systémy poskytujícími data o výrobě, termínu dodání atd.), nebo pronájmu služeb či programů, které umožňují přístup k výpočetním zdrojům (např. vizualizační platformy, výpočetní kapacita pro komplikované operace a další, nejedná se však o cloud ve smyslu uložiště) prostřednictvím internetu;</w:t>
      </w:r>
    </w:p>
    <w:p w14:paraId="347D9DDE" w14:textId="77777777" w:rsidR="00C51BB5" w:rsidRPr="009071F5" w:rsidRDefault="00C51BB5" w:rsidP="00C51BB5">
      <w:pPr>
        <w:autoSpaceDE w:val="0"/>
        <w:autoSpaceDN w:val="0"/>
        <w:adjustRightInd w:val="0"/>
        <w:spacing w:after="0" w:line="240" w:lineRule="auto"/>
        <w:jc w:val="both"/>
        <w:rPr>
          <w:rFonts w:cstheme="minorHAnsi"/>
          <w:color w:val="000000"/>
        </w:rPr>
      </w:pPr>
    </w:p>
    <w:p w14:paraId="521E0D43" w14:textId="77777777" w:rsidR="00C51BB5" w:rsidRPr="009071F5" w:rsidRDefault="00C51BB5" w:rsidP="00C51BB5">
      <w:pPr>
        <w:numPr>
          <w:ilvl w:val="0"/>
          <w:numId w:val="1"/>
        </w:numPr>
        <w:autoSpaceDE w:val="0"/>
        <w:autoSpaceDN w:val="0"/>
        <w:adjustRightInd w:val="0"/>
        <w:spacing w:after="0" w:line="240" w:lineRule="auto"/>
        <w:rPr>
          <w:rFonts w:cstheme="minorHAnsi"/>
          <w:b/>
          <w:color w:val="000000"/>
        </w:rPr>
      </w:pPr>
      <w:r w:rsidRPr="009071F5">
        <w:rPr>
          <w:rFonts w:cstheme="minorHAnsi"/>
          <w:b/>
          <w:color w:val="000000"/>
        </w:rPr>
        <w:t>c) Komunikační a identifikační Infrastruktura</w:t>
      </w:r>
      <w:r w:rsidRPr="009071F5">
        <w:rPr>
          <w:rFonts w:cstheme="minorHAnsi"/>
        </w:rPr>
        <w:t xml:space="preserve"> </w:t>
      </w:r>
      <w:r w:rsidRPr="009071F5">
        <w:rPr>
          <w:rFonts w:cstheme="minorHAnsi"/>
          <w:b/>
          <w:color w:val="000000"/>
        </w:rPr>
        <w:t xml:space="preserve">a výpočetní technika </w:t>
      </w:r>
    </w:p>
    <w:p w14:paraId="65EFA558" w14:textId="77777777" w:rsidR="00C51BB5" w:rsidRPr="009071F5" w:rsidRDefault="00C51BB5" w:rsidP="00C51BB5">
      <w:pPr>
        <w:autoSpaceDE w:val="0"/>
        <w:autoSpaceDN w:val="0"/>
        <w:adjustRightInd w:val="0"/>
        <w:spacing w:after="0" w:line="240" w:lineRule="auto"/>
        <w:jc w:val="both"/>
        <w:rPr>
          <w:rFonts w:cstheme="minorHAnsi"/>
          <w:color w:val="000000"/>
          <w:sz w:val="18"/>
          <w:szCs w:val="18"/>
        </w:rPr>
      </w:pPr>
      <w:r w:rsidRPr="009071F5">
        <w:rPr>
          <w:rFonts w:cstheme="minorHAnsi"/>
          <w:color w:val="000000"/>
          <w:sz w:val="18"/>
          <w:szCs w:val="18"/>
        </w:rPr>
        <w:t>ve smyslu zajištění vnitropodnikové konektivity (aktivní a pasivní prvky sítě, komunikační převodníky, instalační materiál atd.) a související zajištění kybernetické bezpečnosti (náklady na opatření zabezpečení IT), případně implementace technologií sloužících pro identifikaci prvků systému (stroje, nástroje, výrobky, materiál či pracovníci) prostřednictvím pořízení potřebných zařízení (např. čárové či QR kódy, čtečky, RFID, CCID, přenosné terminály/tablety atd.), nebo zajištění IT vybavení potřebného pro bezvadný provoz a implementaci nových systémů.</w:t>
      </w:r>
    </w:p>
    <w:p w14:paraId="35A7114A" w14:textId="77777777" w:rsidR="00C51BB5" w:rsidRPr="009071F5" w:rsidRDefault="00C51BB5" w:rsidP="00C51BB5">
      <w:pPr>
        <w:autoSpaceDE w:val="0"/>
        <w:autoSpaceDN w:val="0"/>
        <w:adjustRightInd w:val="0"/>
        <w:spacing w:after="0" w:line="240" w:lineRule="auto"/>
        <w:jc w:val="both"/>
        <w:rPr>
          <w:rFonts w:cstheme="minorHAnsi"/>
          <w:color w:val="000000"/>
        </w:rPr>
      </w:pPr>
    </w:p>
    <w:p w14:paraId="654F0212" w14:textId="77777777" w:rsidR="00976A2C" w:rsidRPr="009071F5" w:rsidRDefault="00976A2C" w:rsidP="00976A2C">
      <w:pPr>
        <w:autoSpaceDE w:val="0"/>
        <w:autoSpaceDN w:val="0"/>
        <w:adjustRightInd w:val="0"/>
        <w:spacing w:after="0" w:line="240" w:lineRule="auto"/>
        <w:rPr>
          <w:rFonts w:cstheme="minorHAnsi"/>
          <w:color w:val="0070C0"/>
          <w:sz w:val="40"/>
          <w:szCs w:val="40"/>
        </w:rPr>
      </w:pPr>
      <w:r w:rsidRPr="009071F5">
        <w:rPr>
          <w:rFonts w:cstheme="minorHAnsi"/>
          <w:b/>
          <w:bCs/>
          <w:color w:val="0070C0"/>
          <w:sz w:val="40"/>
          <w:szCs w:val="40"/>
        </w:rPr>
        <w:t xml:space="preserve">Nepodporované aktivity </w:t>
      </w:r>
    </w:p>
    <w:p w14:paraId="230F639A" w14:textId="77777777" w:rsidR="00976A2C" w:rsidRPr="009071F5" w:rsidRDefault="00976A2C" w:rsidP="00976A2C">
      <w:pPr>
        <w:numPr>
          <w:ilvl w:val="0"/>
          <w:numId w:val="2"/>
        </w:numPr>
        <w:autoSpaceDE w:val="0"/>
        <w:autoSpaceDN w:val="0"/>
        <w:adjustRightInd w:val="0"/>
        <w:spacing w:after="0" w:line="240" w:lineRule="auto"/>
        <w:rPr>
          <w:rFonts w:cstheme="minorHAnsi"/>
          <w:color w:val="000000"/>
        </w:rPr>
      </w:pPr>
      <w:r w:rsidRPr="009071F5">
        <w:rPr>
          <w:rFonts w:cstheme="minorHAnsi"/>
          <w:color w:val="000000"/>
        </w:rPr>
        <w:t xml:space="preserve">stavební práce; prostá obnova majetku , pořízení kolových a pásových vozidel a kolových a pásových strojů včetně příslušenství, pořízení kancelářského nábytku a vybavení, regálů, pořízení repasovaných strojů a zařízení; aktivace </w:t>
      </w:r>
    </w:p>
    <w:p w14:paraId="206CD67A" w14:textId="77777777" w:rsidR="000B26BE" w:rsidRPr="009071F5" w:rsidRDefault="00976A2C" w:rsidP="00CB152D">
      <w:pPr>
        <w:numPr>
          <w:ilvl w:val="0"/>
          <w:numId w:val="2"/>
        </w:numPr>
        <w:autoSpaceDE w:val="0"/>
        <w:autoSpaceDN w:val="0"/>
        <w:adjustRightInd w:val="0"/>
        <w:spacing w:after="0" w:line="240" w:lineRule="auto"/>
        <w:rPr>
          <w:rFonts w:cstheme="minorHAnsi"/>
        </w:rPr>
      </w:pPr>
      <w:r w:rsidRPr="009071F5">
        <w:rPr>
          <w:rFonts w:cstheme="minorHAnsi"/>
          <w:color w:val="000000"/>
        </w:rPr>
        <w:t xml:space="preserve">u provozovatele se stacionárním zařízením v seznamu EU ETS nelze opatření vedoucí ke snižování emisí skleníkových plynů </w:t>
      </w:r>
    </w:p>
    <w:p w14:paraId="0A6CBD65" w14:textId="77777777" w:rsidR="00976A2C" w:rsidRPr="009071F5" w:rsidRDefault="000B26BE" w:rsidP="000B26BE">
      <w:pPr>
        <w:autoSpaceDE w:val="0"/>
        <w:autoSpaceDN w:val="0"/>
        <w:adjustRightInd w:val="0"/>
        <w:spacing w:after="0" w:line="240" w:lineRule="auto"/>
        <w:rPr>
          <w:rFonts w:cstheme="minorHAnsi"/>
          <w:b/>
          <w:bCs/>
          <w:color w:val="0070C0"/>
          <w:sz w:val="40"/>
          <w:szCs w:val="40"/>
        </w:rPr>
      </w:pPr>
      <w:r w:rsidRPr="009071F5">
        <w:rPr>
          <w:rFonts w:cstheme="minorHAnsi"/>
          <w:b/>
          <w:bCs/>
          <w:color w:val="0070C0"/>
          <w:sz w:val="40"/>
          <w:szCs w:val="40"/>
        </w:rPr>
        <w:lastRenderedPageBreak/>
        <w:t xml:space="preserve">Oprávnění žadatelé </w:t>
      </w:r>
    </w:p>
    <w:p w14:paraId="08AA9294" w14:textId="77777777" w:rsidR="00766597" w:rsidRPr="009071F5" w:rsidRDefault="00976A2C" w:rsidP="00976A2C">
      <w:pPr>
        <w:numPr>
          <w:ilvl w:val="0"/>
          <w:numId w:val="3"/>
        </w:numPr>
        <w:autoSpaceDE w:val="0"/>
        <w:autoSpaceDN w:val="0"/>
        <w:adjustRightInd w:val="0"/>
        <w:spacing w:after="38" w:line="240" w:lineRule="auto"/>
        <w:rPr>
          <w:rFonts w:cstheme="minorHAnsi"/>
          <w:color w:val="000000"/>
        </w:rPr>
      </w:pPr>
      <w:r w:rsidRPr="009071F5">
        <w:rPr>
          <w:rFonts w:cstheme="minorHAnsi"/>
          <w:color w:val="000000"/>
        </w:rPr>
        <w:t xml:space="preserve">podnikající </w:t>
      </w:r>
      <w:r w:rsidRPr="009071F5">
        <w:rPr>
          <w:rFonts w:cstheme="minorHAnsi"/>
          <w:b/>
          <w:bCs/>
          <w:color w:val="000000"/>
        </w:rPr>
        <w:t xml:space="preserve">fyzická osoba </w:t>
      </w:r>
      <w:r w:rsidRPr="009071F5">
        <w:rPr>
          <w:rFonts w:cstheme="minorHAnsi"/>
          <w:color w:val="000000"/>
        </w:rPr>
        <w:t xml:space="preserve">nebo </w:t>
      </w:r>
      <w:r w:rsidRPr="009071F5">
        <w:rPr>
          <w:rFonts w:cstheme="minorHAnsi"/>
          <w:b/>
          <w:bCs/>
          <w:color w:val="000000"/>
        </w:rPr>
        <w:t>právnická osoba</w:t>
      </w:r>
      <w:r w:rsidRPr="009071F5">
        <w:rPr>
          <w:rFonts w:cstheme="minorHAnsi"/>
          <w:color w:val="000000"/>
        </w:rPr>
        <w:t xml:space="preserve"> s</w:t>
      </w:r>
      <w:r w:rsidRPr="009071F5">
        <w:rPr>
          <w:rFonts w:cstheme="minorHAnsi"/>
          <w:b/>
          <w:bCs/>
          <w:color w:val="000000"/>
        </w:rPr>
        <w:t xml:space="preserve"> českým IČ </w:t>
      </w:r>
      <w:r w:rsidRPr="009071F5">
        <w:rPr>
          <w:rFonts w:cstheme="minorHAnsi"/>
          <w:color w:val="000000"/>
        </w:rPr>
        <w:t xml:space="preserve">a </w:t>
      </w:r>
      <w:r w:rsidRPr="009071F5">
        <w:rPr>
          <w:rFonts w:cstheme="minorHAnsi"/>
          <w:b/>
          <w:bCs/>
          <w:color w:val="000000"/>
        </w:rPr>
        <w:t>oprávnění k</w:t>
      </w:r>
      <w:r w:rsidR="00766597" w:rsidRPr="009071F5">
        <w:rPr>
          <w:rFonts w:cstheme="minorHAnsi"/>
          <w:b/>
          <w:bCs/>
          <w:color w:val="000000"/>
        </w:rPr>
        <w:t> </w:t>
      </w:r>
      <w:r w:rsidRPr="009071F5">
        <w:rPr>
          <w:rFonts w:cstheme="minorHAnsi"/>
          <w:b/>
          <w:bCs/>
          <w:color w:val="000000"/>
        </w:rPr>
        <w:t>podnikání</w:t>
      </w:r>
      <w:r w:rsidR="00766597" w:rsidRPr="009071F5">
        <w:rPr>
          <w:rFonts w:cstheme="minorHAnsi"/>
          <w:b/>
          <w:bCs/>
          <w:color w:val="000000"/>
        </w:rPr>
        <w:t>, která zároveň:</w:t>
      </w:r>
      <w:r w:rsidRPr="009071F5">
        <w:rPr>
          <w:rFonts w:cstheme="minorHAnsi"/>
          <w:b/>
          <w:bCs/>
          <w:color w:val="000000"/>
        </w:rPr>
        <w:t xml:space="preserve"> </w:t>
      </w:r>
    </w:p>
    <w:p w14:paraId="12C5E4CD" w14:textId="77777777" w:rsidR="00766597" w:rsidRPr="009071F5" w:rsidRDefault="00766597" w:rsidP="00766597">
      <w:pPr>
        <w:pStyle w:val="Default"/>
        <w:rPr>
          <w:rFonts w:asciiTheme="minorHAnsi" w:hAnsiTheme="minorHAnsi" w:cstheme="minorHAnsi"/>
          <w:sz w:val="22"/>
          <w:szCs w:val="22"/>
        </w:rPr>
      </w:pPr>
      <w:r w:rsidRPr="009071F5">
        <w:rPr>
          <w:rFonts w:asciiTheme="minorHAnsi" w:hAnsiTheme="minorHAnsi" w:cstheme="minorHAnsi"/>
          <w:sz w:val="22"/>
          <w:szCs w:val="22"/>
        </w:rPr>
        <w:t xml:space="preserve">* Je </w:t>
      </w:r>
      <w:r w:rsidRPr="009071F5">
        <w:rPr>
          <w:rFonts w:asciiTheme="minorHAnsi" w:hAnsiTheme="minorHAnsi" w:cstheme="minorHAnsi"/>
          <w:b/>
          <w:sz w:val="22"/>
          <w:szCs w:val="22"/>
        </w:rPr>
        <w:t>malý a střední podnik</w:t>
      </w:r>
      <w:r w:rsidRPr="009071F5">
        <w:rPr>
          <w:rFonts w:asciiTheme="minorHAnsi" w:hAnsiTheme="minorHAnsi" w:cstheme="minorHAnsi"/>
          <w:sz w:val="22"/>
          <w:szCs w:val="22"/>
        </w:rPr>
        <w:t xml:space="preserve"> podle definice v Příloze I Nařízení Komise (EU) č. 651/2014 </w:t>
      </w:r>
    </w:p>
    <w:p w14:paraId="4CE74651" w14:textId="77777777" w:rsidR="00766597" w:rsidRPr="009071F5" w:rsidRDefault="00766597" w:rsidP="00766597">
      <w:pPr>
        <w:numPr>
          <w:ilvl w:val="0"/>
          <w:numId w:val="3"/>
        </w:numPr>
        <w:autoSpaceDE w:val="0"/>
        <w:autoSpaceDN w:val="0"/>
        <w:adjustRightInd w:val="0"/>
        <w:spacing w:after="0" w:line="240" w:lineRule="auto"/>
        <w:rPr>
          <w:rFonts w:cstheme="minorHAnsi"/>
          <w:color w:val="000000"/>
        </w:rPr>
      </w:pPr>
      <w:r w:rsidRPr="009071F5">
        <w:rPr>
          <w:rFonts w:cstheme="minorHAnsi"/>
          <w:color w:val="000000"/>
        </w:rPr>
        <w:t xml:space="preserve">* je registrován jako </w:t>
      </w:r>
      <w:r w:rsidRPr="009071F5">
        <w:rPr>
          <w:rFonts w:cstheme="minorHAnsi"/>
          <w:b/>
          <w:color w:val="000000"/>
        </w:rPr>
        <w:t>poplatník daně z příjmu</w:t>
      </w:r>
      <w:r w:rsidRPr="009071F5">
        <w:rPr>
          <w:rFonts w:cstheme="minorHAnsi"/>
          <w:color w:val="000000"/>
        </w:rPr>
        <w:t xml:space="preserve"> v ČR nepřetržitě </w:t>
      </w:r>
      <w:r w:rsidRPr="009071F5">
        <w:rPr>
          <w:rFonts w:cstheme="minorHAnsi"/>
          <w:b/>
          <w:color w:val="000000"/>
        </w:rPr>
        <w:t>nejméně po dobu 2 zdaňovacích období</w:t>
      </w:r>
      <w:r w:rsidRPr="009071F5">
        <w:rPr>
          <w:rFonts w:cstheme="minorHAnsi"/>
          <w:color w:val="000000"/>
        </w:rPr>
        <w:t xml:space="preserve"> předcházejících datu podání žádosti o podporu; </w:t>
      </w:r>
    </w:p>
    <w:p w14:paraId="5F8173F4" w14:textId="77777777" w:rsidR="00766597" w:rsidRPr="009071F5" w:rsidRDefault="00766597" w:rsidP="00976A2C">
      <w:pPr>
        <w:numPr>
          <w:ilvl w:val="0"/>
          <w:numId w:val="3"/>
        </w:numPr>
        <w:autoSpaceDE w:val="0"/>
        <w:autoSpaceDN w:val="0"/>
        <w:adjustRightInd w:val="0"/>
        <w:spacing w:after="38" w:line="240" w:lineRule="auto"/>
        <w:rPr>
          <w:rFonts w:cstheme="minorHAnsi"/>
          <w:color w:val="000000"/>
        </w:rPr>
      </w:pPr>
      <w:r w:rsidRPr="009071F5">
        <w:rPr>
          <w:rFonts w:cstheme="minorHAnsi"/>
          <w:b/>
          <w:bCs/>
          <w:color w:val="000000"/>
        </w:rPr>
        <w:t xml:space="preserve">* </w:t>
      </w:r>
      <w:r w:rsidR="00976A2C" w:rsidRPr="009071F5">
        <w:rPr>
          <w:rFonts w:cstheme="minorHAnsi"/>
          <w:bCs/>
          <w:color w:val="000000"/>
        </w:rPr>
        <w:t>podnik</w:t>
      </w:r>
      <w:r w:rsidRPr="009071F5">
        <w:rPr>
          <w:rFonts w:cstheme="minorHAnsi"/>
          <w:bCs/>
          <w:color w:val="000000"/>
        </w:rPr>
        <w:t>á</w:t>
      </w:r>
      <w:r w:rsidR="00976A2C" w:rsidRPr="009071F5">
        <w:rPr>
          <w:rFonts w:cstheme="minorHAnsi"/>
          <w:bCs/>
          <w:color w:val="000000"/>
        </w:rPr>
        <w:t xml:space="preserve"> v</w:t>
      </w:r>
      <w:r w:rsidR="00976A2C" w:rsidRPr="009071F5">
        <w:rPr>
          <w:rFonts w:cstheme="minorHAnsi"/>
          <w:b/>
          <w:bCs/>
          <w:color w:val="000000"/>
        </w:rPr>
        <w:t xml:space="preserve"> podporovaném výčtu </w:t>
      </w:r>
      <w:r w:rsidR="00976A2C" w:rsidRPr="009071F5">
        <w:rPr>
          <w:rFonts w:cstheme="minorHAnsi"/>
          <w:bCs/>
          <w:color w:val="000000"/>
        </w:rPr>
        <w:t>ekonomických činností</w:t>
      </w:r>
      <w:r w:rsidR="00976A2C" w:rsidRPr="009071F5">
        <w:rPr>
          <w:rFonts w:cstheme="minorHAnsi"/>
          <w:b/>
          <w:bCs/>
          <w:color w:val="000000"/>
        </w:rPr>
        <w:t xml:space="preserve"> CZ-NACE</w:t>
      </w:r>
      <w:r w:rsidRPr="009071F5">
        <w:rPr>
          <w:rFonts w:cstheme="minorHAnsi"/>
          <w:b/>
          <w:bCs/>
          <w:color w:val="000000"/>
        </w:rPr>
        <w:t xml:space="preserve"> </w:t>
      </w:r>
      <w:r w:rsidRPr="009071F5">
        <w:rPr>
          <w:rFonts w:cstheme="minorHAnsi"/>
          <w:bCs/>
          <w:color w:val="000000"/>
        </w:rPr>
        <w:t>(viz níže)</w:t>
      </w:r>
    </w:p>
    <w:p w14:paraId="044A5261" w14:textId="77777777" w:rsidR="00976A2C" w:rsidRPr="009071F5" w:rsidRDefault="00766597" w:rsidP="00976A2C">
      <w:pPr>
        <w:numPr>
          <w:ilvl w:val="0"/>
          <w:numId w:val="3"/>
        </w:numPr>
        <w:autoSpaceDE w:val="0"/>
        <w:autoSpaceDN w:val="0"/>
        <w:adjustRightInd w:val="0"/>
        <w:spacing w:after="38" w:line="240" w:lineRule="auto"/>
        <w:rPr>
          <w:rFonts w:cstheme="minorHAnsi"/>
          <w:color w:val="000000"/>
        </w:rPr>
      </w:pPr>
      <w:r w:rsidRPr="009071F5">
        <w:rPr>
          <w:rFonts w:cstheme="minorHAnsi"/>
          <w:b/>
          <w:bCs/>
          <w:color w:val="000000"/>
        </w:rPr>
        <w:t xml:space="preserve">* </w:t>
      </w:r>
      <w:r w:rsidR="00976A2C" w:rsidRPr="009071F5">
        <w:rPr>
          <w:rFonts w:cstheme="minorHAnsi"/>
          <w:bCs/>
          <w:color w:val="000000"/>
        </w:rPr>
        <w:t xml:space="preserve">má </w:t>
      </w:r>
      <w:r w:rsidR="00976A2C" w:rsidRPr="009071F5">
        <w:rPr>
          <w:rFonts w:cstheme="minorHAnsi"/>
          <w:b/>
          <w:bCs/>
          <w:color w:val="000000"/>
        </w:rPr>
        <w:t xml:space="preserve">zapsány skutečné majitele </w:t>
      </w:r>
      <w:r w:rsidR="00976A2C" w:rsidRPr="009071F5">
        <w:rPr>
          <w:rFonts w:cstheme="minorHAnsi"/>
          <w:bCs/>
          <w:color w:val="000000"/>
        </w:rPr>
        <w:t>v</w:t>
      </w:r>
      <w:r w:rsidRPr="009071F5">
        <w:rPr>
          <w:rFonts w:cstheme="minorHAnsi"/>
          <w:bCs/>
          <w:color w:val="000000"/>
        </w:rPr>
        <w:t> </w:t>
      </w:r>
      <w:r w:rsidR="00976A2C" w:rsidRPr="009071F5">
        <w:rPr>
          <w:rFonts w:cstheme="minorHAnsi"/>
          <w:bCs/>
          <w:color w:val="000000"/>
        </w:rPr>
        <w:t>ESM</w:t>
      </w:r>
    </w:p>
    <w:p w14:paraId="3246F495" w14:textId="77777777" w:rsidR="00976A2C" w:rsidRPr="009071F5" w:rsidRDefault="00766597" w:rsidP="00976A2C">
      <w:pPr>
        <w:numPr>
          <w:ilvl w:val="0"/>
          <w:numId w:val="3"/>
        </w:numPr>
        <w:autoSpaceDE w:val="0"/>
        <w:autoSpaceDN w:val="0"/>
        <w:adjustRightInd w:val="0"/>
        <w:spacing w:after="38" w:line="240" w:lineRule="auto"/>
        <w:rPr>
          <w:rFonts w:cstheme="minorHAnsi"/>
          <w:color w:val="000000"/>
        </w:rPr>
      </w:pPr>
      <w:r w:rsidRPr="009071F5">
        <w:rPr>
          <w:rFonts w:cstheme="minorHAnsi"/>
          <w:b/>
          <w:bCs/>
          <w:color w:val="000000"/>
        </w:rPr>
        <w:t xml:space="preserve">* </w:t>
      </w:r>
      <w:r w:rsidR="00976A2C" w:rsidRPr="009071F5">
        <w:rPr>
          <w:rFonts w:cstheme="minorHAnsi"/>
          <w:bCs/>
          <w:color w:val="000000"/>
        </w:rPr>
        <w:t xml:space="preserve">není </w:t>
      </w:r>
      <w:r w:rsidR="00976A2C" w:rsidRPr="009071F5">
        <w:rPr>
          <w:rFonts w:cstheme="minorHAnsi"/>
          <w:b/>
          <w:bCs/>
          <w:color w:val="000000"/>
        </w:rPr>
        <w:t>v likvidaci</w:t>
      </w:r>
      <w:r w:rsidR="00976A2C" w:rsidRPr="009071F5">
        <w:rPr>
          <w:rFonts w:cstheme="minorHAnsi"/>
          <w:color w:val="000000"/>
        </w:rPr>
        <w:t xml:space="preserve">; </w:t>
      </w:r>
    </w:p>
    <w:p w14:paraId="6721CB72" w14:textId="77777777" w:rsidR="00766597" w:rsidRPr="009071F5" w:rsidRDefault="00766597" w:rsidP="00766597">
      <w:pPr>
        <w:pStyle w:val="Default"/>
        <w:rPr>
          <w:rFonts w:asciiTheme="minorHAnsi" w:hAnsiTheme="minorHAnsi" w:cstheme="minorHAnsi"/>
          <w:sz w:val="22"/>
          <w:szCs w:val="22"/>
        </w:rPr>
      </w:pPr>
      <w:r w:rsidRPr="009071F5">
        <w:rPr>
          <w:rFonts w:asciiTheme="minorHAnsi" w:hAnsiTheme="minorHAnsi" w:cstheme="minorHAnsi"/>
          <w:sz w:val="22"/>
          <w:szCs w:val="22"/>
        </w:rPr>
        <w:t xml:space="preserve">* není s.r.o., kde je k podílu (podílům) společníka (společníků) vydán </w:t>
      </w:r>
      <w:r w:rsidRPr="009071F5">
        <w:rPr>
          <w:rFonts w:asciiTheme="minorHAnsi" w:hAnsiTheme="minorHAnsi" w:cstheme="minorHAnsi"/>
          <w:b/>
          <w:bCs/>
          <w:sz w:val="22"/>
          <w:szCs w:val="22"/>
        </w:rPr>
        <w:t xml:space="preserve">kmenový list </w:t>
      </w:r>
      <w:r w:rsidRPr="009071F5">
        <w:rPr>
          <w:rFonts w:asciiTheme="minorHAnsi" w:hAnsiTheme="minorHAnsi" w:cstheme="minorHAnsi"/>
          <w:bCs/>
          <w:sz w:val="22"/>
          <w:szCs w:val="22"/>
        </w:rPr>
        <w:t xml:space="preserve">podle § 137 zákona č. 90/2012 </w:t>
      </w:r>
    </w:p>
    <w:p w14:paraId="1686D405" w14:textId="77777777" w:rsidR="00766597" w:rsidRPr="009071F5" w:rsidRDefault="00766597" w:rsidP="00766597">
      <w:pPr>
        <w:pStyle w:val="Default"/>
        <w:numPr>
          <w:ilvl w:val="0"/>
          <w:numId w:val="3"/>
        </w:numPr>
        <w:rPr>
          <w:rFonts w:asciiTheme="minorHAnsi" w:hAnsiTheme="minorHAnsi" w:cstheme="minorHAnsi"/>
          <w:sz w:val="22"/>
          <w:szCs w:val="22"/>
        </w:rPr>
      </w:pPr>
      <w:r w:rsidRPr="009071F5">
        <w:rPr>
          <w:rFonts w:asciiTheme="minorHAnsi" w:hAnsiTheme="minorHAnsi" w:cstheme="minorHAnsi"/>
          <w:b/>
          <w:bCs/>
          <w:sz w:val="22"/>
          <w:szCs w:val="22"/>
        </w:rPr>
        <w:t>* plní povinnost</w:t>
      </w:r>
      <w:r w:rsidRPr="009071F5">
        <w:rPr>
          <w:rFonts w:asciiTheme="minorHAnsi" w:hAnsiTheme="minorHAnsi" w:cstheme="minorHAnsi"/>
          <w:sz w:val="22"/>
          <w:szCs w:val="22"/>
        </w:rPr>
        <w:t xml:space="preserve"> </w:t>
      </w:r>
      <w:r w:rsidRPr="009071F5">
        <w:rPr>
          <w:rFonts w:asciiTheme="minorHAnsi" w:hAnsiTheme="minorHAnsi" w:cstheme="minorHAnsi"/>
          <w:b/>
          <w:bCs/>
          <w:sz w:val="22"/>
          <w:szCs w:val="22"/>
        </w:rPr>
        <w:t xml:space="preserve">zveřejnit účetní závěrku </w:t>
      </w:r>
      <w:r w:rsidRPr="009071F5">
        <w:rPr>
          <w:rFonts w:asciiTheme="minorHAnsi" w:hAnsiTheme="minorHAnsi" w:cstheme="minorHAnsi"/>
          <w:sz w:val="22"/>
          <w:szCs w:val="22"/>
        </w:rPr>
        <w:t>v příslušném rejstříku a to nejméně za poslední dvě uzavřená účetní období.</w:t>
      </w:r>
    </w:p>
    <w:p w14:paraId="4D80841B" w14:textId="77777777" w:rsidR="00766597" w:rsidRPr="009071F5" w:rsidRDefault="00766597" w:rsidP="00766597">
      <w:pPr>
        <w:numPr>
          <w:ilvl w:val="0"/>
          <w:numId w:val="3"/>
        </w:numPr>
        <w:autoSpaceDE w:val="0"/>
        <w:autoSpaceDN w:val="0"/>
        <w:adjustRightInd w:val="0"/>
        <w:spacing w:after="0" w:line="240" w:lineRule="auto"/>
        <w:rPr>
          <w:rFonts w:cstheme="minorHAnsi"/>
          <w:color w:val="000000"/>
        </w:rPr>
      </w:pPr>
      <w:r w:rsidRPr="009071F5">
        <w:rPr>
          <w:rFonts w:cstheme="minorHAnsi"/>
          <w:color w:val="000000"/>
        </w:rPr>
        <w:t xml:space="preserve">* není ve střetu zájmů dle </w:t>
      </w:r>
      <w:proofErr w:type="spellStart"/>
      <w:r w:rsidRPr="009071F5">
        <w:rPr>
          <w:rFonts w:cstheme="minorHAnsi"/>
          <w:color w:val="000000"/>
        </w:rPr>
        <w:t>ust</w:t>
      </w:r>
      <w:proofErr w:type="spellEnd"/>
      <w:r w:rsidRPr="009071F5">
        <w:rPr>
          <w:rFonts w:cstheme="minorHAnsi"/>
          <w:color w:val="000000"/>
        </w:rPr>
        <w:t xml:space="preserve">. § 4c zákona č. 159/2006 </w:t>
      </w:r>
    </w:p>
    <w:p w14:paraId="5658D3CD" w14:textId="77777777" w:rsidR="00766597" w:rsidRPr="009071F5" w:rsidRDefault="00766597" w:rsidP="00766597">
      <w:pPr>
        <w:autoSpaceDE w:val="0"/>
        <w:autoSpaceDN w:val="0"/>
        <w:adjustRightInd w:val="0"/>
        <w:spacing w:after="0" w:line="240" w:lineRule="auto"/>
        <w:rPr>
          <w:rFonts w:cstheme="minorHAnsi"/>
          <w:color w:val="000000"/>
        </w:rPr>
      </w:pPr>
      <w:r w:rsidRPr="009071F5">
        <w:rPr>
          <w:rFonts w:cstheme="minorHAnsi"/>
          <w:color w:val="000000"/>
        </w:rPr>
        <w:t>* nemá na svůj majetek prohlášen konkurz (vyjma povolené reorganizace)</w:t>
      </w:r>
    </w:p>
    <w:p w14:paraId="28C25111" w14:textId="77777777" w:rsidR="00766597" w:rsidRPr="009071F5" w:rsidRDefault="00766597" w:rsidP="00766597">
      <w:pPr>
        <w:autoSpaceDE w:val="0"/>
        <w:autoSpaceDN w:val="0"/>
        <w:adjustRightInd w:val="0"/>
        <w:spacing w:after="0" w:line="240" w:lineRule="auto"/>
        <w:rPr>
          <w:rFonts w:cstheme="minorHAnsi"/>
          <w:color w:val="000000"/>
        </w:rPr>
      </w:pPr>
      <w:r w:rsidRPr="009071F5">
        <w:rPr>
          <w:rFonts w:cstheme="minorHAnsi"/>
          <w:color w:val="000000"/>
        </w:rPr>
        <w:t>* FO nebo statutární orgán PO splňuje trestní bezúhonnost</w:t>
      </w:r>
    </w:p>
    <w:p w14:paraId="41ACBABD" w14:textId="77777777" w:rsidR="00FE43E0" w:rsidRPr="009071F5" w:rsidRDefault="00FE43E0" w:rsidP="00766597">
      <w:pPr>
        <w:autoSpaceDE w:val="0"/>
        <w:autoSpaceDN w:val="0"/>
        <w:adjustRightInd w:val="0"/>
        <w:spacing w:after="0" w:line="240" w:lineRule="auto"/>
        <w:rPr>
          <w:rFonts w:cstheme="minorHAnsi"/>
          <w:color w:val="000000"/>
        </w:rPr>
      </w:pPr>
    </w:p>
    <w:p w14:paraId="1A84BC07" w14:textId="77777777" w:rsidR="00FE43E0" w:rsidRPr="009071F5" w:rsidRDefault="00FE43E0" w:rsidP="00766597">
      <w:pPr>
        <w:autoSpaceDE w:val="0"/>
        <w:autoSpaceDN w:val="0"/>
        <w:adjustRightInd w:val="0"/>
        <w:spacing w:after="0" w:line="240" w:lineRule="auto"/>
        <w:rPr>
          <w:rFonts w:cstheme="minorHAnsi"/>
          <w:b/>
          <w:color w:val="0070C0"/>
          <w:sz w:val="40"/>
          <w:szCs w:val="40"/>
        </w:rPr>
      </w:pPr>
      <w:r w:rsidRPr="009071F5">
        <w:rPr>
          <w:rFonts w:cstheme="minorHAnsi"/>
          <w:b/>
          <w:color w:val="0070C0"/>
          <w:sz w:val="40"/>
          <w:szCs w:val="40"/>
        </w:rPr>
        <w:t xml:space="preserve">Nepodporované kategorie CZ-NACE </w:t>
      </w:r>
    </w:p>
    <w:p w14:paraId="712E2A70" w14:textId="77777777" w:rsidR="00FE43E0" w:rsidRPr="009071F5" w:rsidRDefault="00FE43E0" w:rsidP="00766597">
      <w:pPr>
        <w:autoSpaceDE w:val="0"/>
        <w:autoSpaceDN w:val="0"/>
        <w:adjustRightInd w:val="0"/>
        <w:spacing w:after="0" w:line="240" w:lineRule="auto"/>
        <w:rPr>
          <w:rFonts w:cstheme="minorHAnsi"/>
          <w:color w:val="000000"/>
        </w:rPr>
      </w:pPr>
      <w:r w:rsidRPr="009071F5">
        <w:rPr>
          <w:rFonts w:cstheme="minorHAnsi"/>
          <w:color w:val="000000"/>
        </w:rPr>
        <w:t>(tj. nelze přidělit dotaci žadateli, pokud se projekt týká těchto oblastí CZ-NACE)</w:t>
      </w:r>
    </w:p>
    <w:p w14:paraId="131EF8FC" w14:textId="77777777" w:rsidR="00FE43E0" w:rsidRPr="009071F5" w:rsidRDefault="00FE43E0" w:rsidP="00766597">
      <w:pPr>
        <w:autoSpaceDE w:val="0"/>
        <w:autoSpaceDN w:val="0"/>
        <w:adjustRightInd w:val="0"/>
        <w:spacing w:after="0" w:line="240" w:lineRule="auto"/>
        <w:rPr>
          <w:rFonts w:cstheme="minorHAnsi"/>
          <w:color w:val="000000"/>
        </w:rPr>
      </w:pPr>
    </w:p>
    <w:p w14:paraId="26429D69" w14:textId="77777777" w:rsidR="00FE43E0" w:rsidRPr="009071F5" w:rsidRDefault="00FE43E0" w:rsidP="00766597">
      <w:pPr>
        <w:autoSpaceDE w:val="0"/>
        <w:autoSpaceDN w:val="0"/>
        <w:adjustRightInd w:val="0"/>
        <w:spacing w:after="0" w:line="240" w:lineRule="auto"/>
        <w:rPr>
          <w:rFonts w:cstheme="minorHAnsi"/>
          <w:color w:val="000000"/>
        </w:rPr>
      </w:pPr>
      <w:r w:rsidRPr="009071F5">
        <w:rPr>
          <w:rFonts w:cstheme="minorHAnsi"/>
          <w:color w:val="000000"/>
        </w:rPr>
        <w:t xml:space="preserve">Výběr nejdůležitějších (kompletně viz </w:t>
      </w:r>
      <w:hyperlink r:id="rId8" w:history="1">
        <w:r w:rsidRPr="009071F5">
          <w:rPr>
            <w:rStyle w:val="Hypertextovodkaz"/>
            <w:rFonts w:cstheme="minorHAnsi"/>
          </w:rPr>
          <w:t>příloha č.6</w:t>
        </w:r>
      </w:hyperlink>
      <w:r w:rsidRPr="009071F5">
        <w:rPr>
          <w:rFonts w:cstheme="minorHAnsi"/>
          <w:color w:val="000000"/>
        </w:rPr>
        <w:t>):</w:t>
      </w:r>
    </w:p>
    <w:p w14:paraId="649D9205" w14:textId="77777777" w:rsidR="00FE43E0" w:rsidRPr="009071F5" w:rsidRDefault="00FE43E0" w:rsidP="00766597">
      <w:pPr>
        <w:autoSpaceDE w:val="0"/>
        <w:autoSpaceDN w:val="0"/>
        <w:adjustRightInd w:val="0"/>
        <w:spacing w:after="0" w:line="240" w:lineRule="auto"/>
        <w:rPr>
          <w:rFonts w:cstheme="minorHAnsi"/>
          <w:color w:val="000000"/>
        </w:rPr>
      </w:pPr>
    </w:p>
    <w:p w14:paraId="0BF7B198" w14:textId="77777777" w:rsidR="00766597" w:rsidRPr="009071F5" w:rsidRDefault="00FE43E0" w:rsidP="00766597">
      <w:pPr>
        <w:numPr>
          <w:ilvl w:val="0"/>
          <w:numId w:val="3"/>
        </w:numPr>
        <w:autoSpaceDE w:val="0"/>
        <w:autoSpaceDN w:val="0"/>
        <w:adjustRightInd w:val="0"/>
        <w:spacing w:after="0" w:line="240" w:lineRule="auto"/>
        <w:rPr>
          <w:rFonts w:cstheme="minorHAnsi"/>
          <w:color w:val="000000"/>
          <w:sz w:val="24"/>
          <w:szCs w:val="24"/>
        </w:rPr>
      </w:pPr>
      <w:r w:rsidRPr="009071F5">
        <w:rPr>
          <w:rFonts w:cstheme="minorHAnsi"/>
          <w:noProof/>
          <w:color w:val="000000"/>
          <w:sz w:val="24"/>
          <w:szCs w:val="24"/>
        </w:rPr>
        <w:drawing>
          <wp:inline distT="0" distB="0" distL="0" distR="0" wp14:anchorId="242F9824" wp14:editId="50EC702C">
            <wp:extent cx="5760720" cy="8195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9595"/>
                    </a:xfrm>
                    <a:prstGeom prst="rect">
                      <a:avLst/>
                    </a:prstGeom>
                    <a:noFill/>
                    <a:ln>
                      <a:noFill/>
                    </a:ln>
                  </pic:spPr>
                </pic:pic>
              </a:graphicData>
            </a:graphic>
          </wp:inline>
        </w:drawing>
      </w:r>
    </w:p>
    <w:p w14:paraId="3864DDA6" w14:textId="77777777" w:rsidR="00FE43E0" w:rsidRPr="009071F5" w:rsidRDefault="00FE43E0" w:rsidP="00766597">
      <w:pPr>
        <w:numPr>
          <w:ilvl w:val="0"/>
          <w:numId w:val="3"/>
        </w:numPr>
        <w:autoSpaceDE w:val="0"/>
        <w:autoSpaceDN w:val="0"/>
        <w:adjustRightInd w:val="0"/>
        <w:spacing w:after="0" w:line="240" w:lineRule="auto"/>
        <w:rPr>
          <w:rFonts w:cstheme="minorHAnsi"/>
          <w:color w:val="000000"/>
          <w:sz w:val="24"/>
          <w:szCs w:val="24"/>
        </w:rPr>
      </w:pPr>
      <w:r w:rsidRPr="009071F5">
        <w:rPr>
          <w:rFonts w:cstheme="minorHAnsi"/>
          <w:noProof/>
          <w:color w:val="000000"/>
          <w:sz w:val="24"/>
          <w:szCs w:val="24"/>
        </w:rPr>
        <w:drawing>
          <wp:inline distT="0" distB="0" distL="0" distR="0" wp14:anchorId="199832AF" wp14:editId="7EDD3039">
            <wp:extent cx="5760720" cy="38278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2788"/>
                    </a:xfrm>
                    <a:prstGeom prst="rect">
                      <a:avLst/>
                    </a:prstGeom>
                    <a:noFill/>
                    <a:ln>
                      <a:noFill/>
                    </a:ln>
                  </pic:spPr>
                </pic:pic>
              </a:graphicData>
            </a:graphic>
          </wp:inline>
        </w:drawing>
      </w:r>
    </w:p>
    <w:p w14:paraId="10980372" w14:textId="77777777" w:rsidR="00FE43E0" w:rsidRPr="009071F5" w:rsidRDefault="00FE43E0" w:rsidP="00766597">
      <w:pPr>
        <w:numPr>
          <w:ilvl w:val="0"/>
          <w:numId w:val="3"/>
        </w:numPr>
        <w:autoSpaceDE w:val="0"/>
        <w:autoSpaceDN w:val="0"/>
        <w:adjustRightInd w:val="0"/>
        <w:spacing w:after="0" w:line="240" w:lineRule="auto"/>
        <w:rPr>
          <w:rFonts w:cstheme="minorHAnsi"/>
          <w:color w:val="000000"/>
          <w:sz w:val="24"/>
          <w:szCs w:val="24"/>
        </w:rPr>
      </w:pPr>
      <w:r w:rsidRPr="009071F5">
        <w:rPr>
          <w:rFonts w:cstheme="minorHAnsi"/>
          <w:noProof/>
          <w:color w:val="000000"/>
          <w:sz w:val="24"/>
          <w:szCs w:val="24"/>
        </w:rPr>
        <w:drawing>
          <wp:inline distT="0" distB="0" distL="0" distR="0" wp14:anchorId="068FF3F2" wp14:editId="5B8E3A7E">
            <wp:extent cx="5760720" cy="715968"/>
            <wp:effectExtent l="0" t="0" r="0"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15968"/>
                    </a:xfrm>
                    <a:prstGeom prst="rect">
                      <a:avLst/>
                    </a:prstGeom>
                    <a:noFill/>
                    <a:ln>
                      <a:noFill/>
                    </a:ln>
                  </pic:spPr>
                </pic:pic>
              </a:graphicData>
            </a:graphic>
          </wp:inline>
        </w:drawing>
      </w:r>
    </w:p>
    <w:p w14:paraId="32C8F399" w14:textId="77777777" w:rsidR="00FE43E0" w:rsidRPr="009071F5" w:rsidRDefault="00FE43E0" w:rsidP="00766597">
      <w:pPr>
        <w:numPr>
          <w:ilvl w:val="0"/>
          <w:numId w:val="3"/>
        </w:numPr>
        <w:autoSpaceDE w:val="0"/>
        <w:autoSpaceDN w:val="0"/>
        <w:adjustRightInd w:val="0"/>
        <w:spacing w:after="0" w:line="240" w:lineRule="auto"/>
        <w:rPr>
          <w:rFonts w:cstheme="minorHAnsi"/>
          <w:color w:val="000000"/>
          <w:sz w:val="24"/>
          <w:szCs w:val="24"/>
        </w:rPr>
      </w:pPr>
      <w:r w:rsidRPr="009071F5">
        <w:rPr>
          <w:rFonts w:cstheme="minorHAnsi"/>
          <w:noProof/>
          <w:color w:val="000000"/>
          <w:sz w:val="24"/>
          <w:szCs w:val="24"/>
        </w:rPr>
        <w:drawing>
          <wp:inline distT="0" distB="0" distL="0" distR="0" wp14:anchorId="7A66DAB9" wp14:editId="56E1DB13">
            <wp:extent cx="5760720" cy="379307"/>
            <wp:effectExtent l="0" t="0" r="0" b="190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79307"/>
                    </a:xfrm>
                    <a:prstGeom prst="rect">
                      <a:avLst/>
                    </a:prstGeom>
                    <a:noFill/>
                    <a:ln>
                      <a:noFill/>
                    </a:ln>
                  </pic:spPr>
                </pic:pic>
              </a:graphicData>
            </a:graphic>
          </wp:inline>
        </w:drawing>
      </w:r>
    </w:p>
    <w:p w14:paraId="6235FD7C" w14:textId="77777777" w:rsidR="009071F5" w:rsidRPr="009071F5" w:rsidRDefault="009071F5" w:rsidP="00C51BB5">
      <w:pPr>
        <w:autoSpaceDE w:val="0"/>
        <w:autoSpaceDN w:val="0"/>
        <w:adjustRightInd w:val="0"/>
        <w:spacing w:after="0" w:line="240" w:lineRule="auto"/>
        <w:rPr>
          <w:rFonts w:cstheme="minorHAnsi"/>
          <w:b/>
          <w:bCs/>
          <w:color w:val="000000"/>
        </w:rPr>
      </w:pPr>
    </w:p>
    <w:p w14:paraId="4C4A7422" w14:textId="77777777" w:rsidR="009071F5" w:rsidRPr="009071F5" w:rsidRDefault="00C51BB5" w:rsidP="00C51BB5">
      <w:pPr>
        <w:autoSpaceDE w:val="0"/>
        <w:autoSpaceDN w:val="0"/>
        <w:adjustRightInd w:val="0"/>
        <w:spacing w:after="0" w:line="240" w:lineRule="auto"/>
        <w:rPr>
          <w:rFonts w:cstheme="minorHAnsi"/>
          <w:bCs/>
          <w:color w:val="000000"/>
        </w:rPr>
      </w:pPr>
      <w:r w:rsidRPr="009071F5">
        <w:rPr>
          <w:rFonts w:cstheme="minorHAnsi"/>
          <w:b/>
          <w:bCs/>
          <w:color w:val="0070C0"/>
          <w:sz w:val="40"/>
          <w:szCs w:val="40"/>
        </w:rPr>
        <w:t>Způsobilé výdaje a nezpůsobilé výdaje</w:t>
      </w:r>
      <w:r w:rsidRPr="009071F5">
        <w:rPr>
          <w:rFonts w:cstheme="minorHAnsi"/>
          <w:bCs/>
          <w:color w:val="0070C0"/>
        </w:rPr>
        <w:t xml:space="preserve"> </w:t>
      </w:r>
    </w:p>
    <w:p w14:paraId="5F562061" w14:textId="77777777" w:rsidR="00C51BB5" w:rsidRPr="009071F5" w:rsidRDefault="00C51BB5" w:rsidP="00C51BB5">
      <w:pPr>
        <w:autoSpaceDE w:val="0"/>
        <w:autoSpaceDN w:val="0"/>
        <w:adjustRightInd w:val="0"/>
        <w:spacing w:after="0" w:line="240" w:lineRule="auto"/>
        <w:rPr>
          <w:rFonts w:cstheme="minorHAnsi"/>
          <w:bCs/>
          <w:color w:val="000000"/>
        </w:rPr>
      </w:pPr>
      <w:r w:rsidRPr="009071F5">
        <w:rPr>
          <w:rFonts w:cstheme="minorHAnsi"/>
          <w:bCs/>
          <w:color w:val="000000"/>
        </w:rPr>
        <w:t>podrobně v </w:t>
      </w:r>
      <w:hyperlink r:id="rId13" w:history="1">
        <w:r w:rsidRPr="009071F5">
          <w:rPr>
            <w:rStyle w:val="Hypertextovodkaz"/>
            <w:rFonts w:cstheme="minorHAnsi"/>
            <w:bCs/>
          </w:rPr>
          <w:t>Příloze č</w:t>
        </w:r>
        <w:r w:rsidRPr="009071F5">
          <w:rPr>
            <w:rStyle w:val="Hypertextovodkaz"/>
            <w:rFonts w:cstheme="minorHAnsi"/>
            <w:bCs/>
          </w:rPr>
          <w:t>.</w:t>
        </w:r>
        <w:r w:rsidRPr="009071F5">
          <w:rPr>
            <w:rStyle w:val="Hypertextovodkaz"/>
            <w:rFonts w:cstheme="minorHAnsi"/>
            <w:bCs/>
          </w:rPr>
          <w:t>2</w:t>
        </w:r>
      </w:hyperlink>
    </w:p>
    <w:p w14:paraId="062515E3" w14:textId="77777777" w:rsidR="00766597" w:rsidRPr="009071F5" w:rsidRDefault="00766597" w:rsidP="00976A2C">
      <w:pPr>
        <w:numPr>
          <w:ilvl w:val="0"/>
          <w:numId w:val="3"/>
        </w:numPr>
        <w:autoSpaceDE w:val="0"/>
        <w:autoSpaceDN w:val="0"/>
        <w:adjustRightInd w:val="0"/>
        <w:spacing w:after="0" w:line="240" w:lineRule="auto"/>
        <w:rPr>
          <w:rFonts w:cstheme="minorHAnsi"/>
          <w:color w:val="000000"/>
        </w:rPr>
      </w:pPr>
    </w:p>
    <w:p w14:paraId="57C5677A" w14:textId="77777777" w:rsidR="00247E5D" w:rsidRPr="009071F5" w:rsidRDefault="00247E5D" w:rsidP="000B26BE">
      <w:pPr>
        <w:autoSpaceDE w:val="0"/>
        <w:autoSpaceDN w:val="0"/>
        <w:adjustRightInd w:val="0"/>
        <w:spacing w:after="0" w:line="240" w:lineRule="auto"/>
        <w:rPr>
          <w:rFonts w:cstheme="minorHAnsi"/>
          <w:b/>
          <w:bCs/>
          <w:color w:val="000000"/>
        </w:rPr>
      </w:pPr>
      <w:r w:rsidRPr="009071F5">
        <w:rPr>
          <w:rFonts w:cstheme="minorHAnsi"/>
          <w:b/>
          <w:bCs/>
          <w:color w:val="000000"/>
        </w:rPr>
        <w:t>Nepřímé náklady:</w:t>
      </w:r>
    </w:p>
    <w:p w14:paraId="4B1F8E22" w14:textId="77777777" w:rsidR="00247E5D" w:rsidRPr="009071F5" w:rsidRDefault="00247E5D" w:rsidP="00247E5D">
      <w:pPr>
        <w:autoSpaceDE w:val="0"/>
        <w:autoSpaceDN w:val="0"/>
        <w:adjustRightInd w:val="0"/>
        <w:spacing w:after="0" w:line="240" w:lineRule="auto"/>
        <w:rPr>
          <w:rFonts w:cstheme="minorHAnsi"/>
          <w:bCs/>
          <w:color w:val="000000"/>
        </w:rPr>
      </w:pPr>
      <w:r w:rsidRPr="009071F5">
        <w:rPr>
          <w:rFonts w:cstheme="minorHAnsi"/>
          <w:bCs/>
          <w:color w:val="000000"/>
        </w:rPr>
        <w:t xml:space="preserve">Příjemce musí uplatnit </w:t>
      </w:r>
      <w:r w:rsidRPr="009071F5">
        <w:rPr>
          <w:rFonts w:cstheme="minorHAnsi"/>
          <w:b/>
          <w:bCs/>
          <w:color w:val="000000"/>
        </w:rPr>
        <w:t>7 % rozpočtu</w:t>
      </w:r>
      <w:r w:rsidRPr="009071F5">
        <w:rPr>
          <w:rFonts w:cstheme="minorHAnsi"/>
          <w:bCs/>
          <w:color w:val="000000"/>
        </w:rPr>
        <w:t xml:space="preserve"> projektu za nepřímé náklady (viz níže), za tyto</w:t>
      </w:r>
    </w:p>
    <w:p w14:paraId="149C8DE3" w14:textId="77777777" w:rsidR="00247E5D" w:rsidRPr="009071F5" w:rsidRDefault="00247E5D" w:rsidP="00247E5D">
      <w:pPr>
        <w:autoSpaceDE w:val="0"/>
        <w:autoSpaceDN w:val="0"/>
        <w:adjustRightInd w:val="0"/>
        <w:spacing w:after="0" w:line="240" w:lineRule="auto"/>
        <w:rPr>
          <w:rFonts w:cstheme="minorHAnsi"/>
          <w:bCs/>
          <w:color w:val="000000"/>
        </w:rPr>
      </w:pPr>
      <w:r w:rsidRPr="009071F5">
        <w:rPr>
          <w:rFonts w:cstheme="minorHAnsi"/>
          <w:bCs/>
          <w:color w:val="000000"/>
        </w:rPr>
        <w:t>náklady nebude předkládat faktury, daňové doklady apod.</w:t>
      </w:r>
      <w:r w:rsidR="00B81DC8" w:rsidRPr="009071F5">
        <w:rPr>
          <w:rFonts w:cstheme="minorHAnsi"/>
          <w:bCs/>
          <w:color w:val="000000"/>
        </w:rPr>
        <w:t>:</w:t>
      </w:r>
    </w:p>
    <w:p w14:paraId="54FC07A5" w14:textId="77777777" w:rsidR="00B81DC8" w:rsidRPr="009071F5" w:rsidRDefault="00B81DC8" w:rsidP="00247E5D">
      <w:pPr>
        <w:autoSpaceDE w:val="0"/>
        <w:autoSpaceDN w:val="0"/>
        <w:adjustRightInd w:val="0"/>
        <w:spacing w:after="0" w:line="240" w:lineRule="auto"/>
        <w:rPr>
          <w:rFonts w:cstheme="minorHAnsi"/>
          <w:bCs/>
          <w:color w:val="000000"/>
        </w:rPr>
      </w:pPr>
    </w:p>
    <w:p w14:paraId="63BE1809" w14:textId="77777777" w:rsidR="00B81DC8" w:rsidRPr="009071F5" w:rsidRDefault="00B81DC8" w:rsidP="00B81DC8">
      <w:pPr>
        <w:autoSpaceDE w:val="0"/>
        <w:autoSpaceDN w:val="0"/>
        <w:adjustRightInd w:val="0"/>
        <w:spacing w:after="0" w:line="240" w:lineRule="auto"/>
        <w:rPr>
          <w:rFonts w:cstheme="minorHAnsi"/>
          <w:bCs/>
          <w:color w:val="000000"/>
          <w:sz w:val="18"/>
          <w:szCs w:val="18"/>
        </w:rPr>
      </w:pPr>
      <w:r w:rsidRPr="009071F5">
        <w:rPr>
          <w:rFonts w:cstheme="minorHAnsi"/>
          <w:bCs/>
          <w:color w:val="000000"/>
          <w:sz w:val="18"/>
          <w:szCs w:val="18"/>
        </w:rPr>
        <w:t>- publicita,</w:t>
      </w:r>
      <w:r w:rsidR="009071F5" w:rsidRPr="009071F5">
        <w:rPr>
          <w:rFonts w:cstheme="minorHAnsi"/>
          <w:bCs/>
          <w:color w:val="000000"/>
          <w:sz w:val="18"/>
          <w:szCs w:val="18"/>
        </w:rPr>
        <w:t xml:space="preserve"> </w:t>
      </w:r>
      <w:r w:rsidRPr="009071F5">
        <w:rPr>
          <w:rFonts w:cstheme="minorHAnsi"/>
          <w:bCs/>
          <w:color w:val="000000"/>
          <w:sz w:val="18"/>
          <w:szCs w:val="18"/>
        </w:rPr>
        <w:t>• mzdy administrativních pracovníků (účetní, projektový manažer apod.),</w:t>
      </w:r>
      <w:r w:rsidR="009071F5" w:rsidRPr="009071F5">
        <w:rPr>
          <w:rFonts w:cstheme="minorHAnsi"/>
          <w:bCs/>
          <w:color w:val="000000"/>
          <w:sz w:val="18"/>
          <w:szCs w:val="18"/>
        </w:rPr>
        <w:t xml:space="preserve"> </w:t>
      </w:r>
      <w:r w:rsidRPr="009071F5">
        <w:rPr>
          <w:rFonts w:cstheme="minorHAnsi"/>
          <w:bCs/>
          <w:color w:val="000000"/>
          <w:sz w:val="18"/>
          <w:szCs w:val="18"/>
        </w:rPr>
        <w:t>• drobný hmotný majetek určený k okamžité spotřebě (papír, kancelářské potřeby apod.),</w:t>
      </w:r>
      <w:r w:rsidR="009071F5" w:rsidRPr="009071F5">
        <w:rPr>
          <w:rFonts w:cstheme="minorHAnsi"/>
          <w:bCs/>
          <w:color w:val="000000"/>
          <w:sz w:val="18"/>
          <w:szCs w:val="18"/>
        </w:rPr>
        <w:t xml:space="preserve"> </w:t>
      </w:r>
      <w:r w:rsidRPr="009071F5">
        <w:rPr>
          <w:rFonts w:cstheme="minorHAnsi"/>
          <w:bCs/>
          <w:color w:val="000000"/>
          <w:sz w:val="18"/>
          <w:szCs w:val="18"/>
        </w:rPr>
        <w:t>• výdaje na realizaci VŘ a poradenské služby,</w:t>
      </w:r>
    </w:p>
    <w:p w14:paraId="0EACFBF9" w14:textId="77777777" w:rsidR="00B81DC8" w:rsidRPr="009071F5" w:rsidRDefault="00B81DC8" w:rsidP="00B81DC8">
      <w:pPr>
        <w:autoSpaceDE w:val="0"/>
        <w:autoSpaceDN w:val="0"/>
        <w:adjustRightInd w:val="0"/>
        <w:spacing w:after="0" w:line="240" w:lineRule="auto"/>
        <w:rPr>
          <w:rFonts w:cstheme="minorHAnsi"/>
          <w:bCs/>
          <w:color w:val="000000"/>
          <w:sz w:val="18"/>
          <w:szCs w:val="18"/>
        </w:rPr>
      </w:pPr>
      <w:r w:rsidRPr="009071F5">
        <w:rPr>
          <w:rFonts w:cstheme="minorHAnsi"/>
          <w:bCs/>
          <w:color w:val="000000"/>
          <w:sz w:val="18"/>
          <w:szCs w:val="18"/>
        </w:rPr>
        <w:t>• pronájem prostor pro administrativní realizaci projektu (a s tím souvisejících služeb – energie, voda, internetové a telefonické připojení, úklid prostor apod.),</w:t>
      </w:r>
      <w:r w:rsidR="009071F5" w:rsidRPr="009071F5">
        <w:rPr>
          <w:rFonts w:cstheme="minorHAnsi"/>
          <w:bCs/>
          <w:color w:val="000000"/>
          <w:sz w:val="18"/>
          <w:szCs w:val="18"/>
        </w:rPr>
        <w:t xml:space="preserve"> </w:t>
      </w:r>
      <w:r w:rsidRPr="009071F5">
        <w:rPr>
          <w:rFonts w:cstheme="minorHAnsi"/>
          <w:bCs/>
          <w:color w:val="000000"/>
          <w:sz w:val="18"/>
          <w:szCs w:val="18"/>
        </w:rPr>
        <w:t>• vnitrostátní a zahraniční cestovní náklady,</w:t>
      </w:r>
      <w:r w:rsidR="009071F5" w:rsidRPr="009071F5">
        <w:rPr>
          <w:rFonts w:cstheme="minorHAnsi"/>
          <w:bCs/>
          <w:color w:val="000000"/>
          <w:sz w:val="18"/>
          <w:szCs w:val="18"/>
        </w:rPr>
        <w:t xml:space="preserve"> </w:t>
      </w:r>
      <w:r w:rsidRPr="009071F5">
        <w:rPr>
          <w:rFonts w:cstheme="minorHAnsi"/>
          <w:bCs/>
          <w:color w:val="000000"/>
          <w:sz w:val="18"/>
          <w:szCs w:val="18"/>
        </w:rPr>
        <w:t>• odpisy,</w:t>
      </w:r>
      <w:r w:rsidR="009071F5" w:rsidRPr="009071F5">
        <w:rPr>
          <w:rFonts w:cstheme="minorHAnsi"/>
          <w:bCs/>
          <w:color w:val="000000"/>
          <w:sz w:val="18"/>
          <w:szCs w:val="18"/>
        </w:rPr>
        <w:t xml:space="preserve"> </w:t>
      </w:r>
      <w:r w:rsidRPr="009071F5">
        <w:rPr>
          <w:rFonts w:cstheme="minorHAnsi"/>
          <w:bCs/>
          <w:color w:val="000000"/>
          <w:sz w:val="18"/>
          <w:szCs w:val="18"/>
        </w:rPr>
        <w:t>• bankovní poplatky a další správní poplatky, které nejsou nezbytné pro realizaci projektu</w:t>
      </w:r>
      <w:r w:rsidR="009071F5" w:rsidRPr="009071F5">
        <w:rPr>
          <w:rFonts w:cstheme="minorHAnsi"/>
          <w:bCs/>
          <w:color w:val="000000"/>
          <w:sz w:val="18"/>
          <w:szCs w:val="18"/>
        </w:rPr>
        <w:t xml:space="preserve"> </w:t>
      </w:r>
      <w:r w:rsidRPr="009071F5">
        <w:rPr>
          <w:rFonts w:cstheme="minorHAnsi"/>
          <w:bCs/>
          <w:color w:val="000000"/>
          <w:sz w:val="18"/>
          <w:szCs w:val="18"/>
        </w:rPr>
        <w:t>(ověřování dokumentů, poplatek za vedení účtu apod.),</w:t>
      </w:r>
      <w:r w:rsidR="009071F5" w:rsidRPr="009071F5">
        <w:rPr>
          <w:rFonts w:cstheme="minorHAnsi"/>
          <w:bCs/>
          <w:color w:val="000000"/>
          <w:sz w:val="18"/>
          <w:szCs w:val="18"/>
        </w:rPr>
        <w:t xml:space="preserve"> </w:t>
      </w:r>
      <w:r w:rsidRPr="009071F5">
        <w:rPr>
          <w:rFonts w:cstheme="minorHAnsi"/>
          <w:bCs/>
          <w:color w:val="000000"/>
          <w:sz w:val="18"/>
          <w:szCs w:val="18"/>
        </w:rPr>
        <w:t>• marketing, propagace.</w:t>
      </w:r>
    </w:p>
    <w:p w14:paraId="1D4B25BF" w14:textId="77777777" w:rsidR="00976A2C" w:rsidRPr="009071F5" w:rsidRDefault="00976A2C" w:rsidP="000B26BE">
      <w:pPr>
        <w:autoSpaceDE w:val="0"/>
        <w:autoSpaceDN w:val="0"/>
        <w:adjustRightInd w:val="0"/>
        <w:spacing w:after="0" w:line="240" w:lineRule="auto"/>
        <w:rPr>
          <w:rFonts w:cstheme="minorHAnsi"/>
          <w:bCs/>
          <w:color w:val="000000"/>
        </w:rPr>
      </w:pPr>
    </w:p>
    <w:p w14:paraId="66F3E341" w14:textId="77777777" w:rsidR="00B81DC8" w:rsidRPr="009071F5" w:rsidRDefault="00B81DC8" w:rsidP="000B26BE">
      <w:pPr>
        <w:autoSpaceDE w:val="0"/>
        <w:autoSpaceDN w:val="0"/>
        <w:adjustRightInd w:val="0"/>
        <w:spacing w:after="0" w:line="240" w:lineRule="auto"/>
        <w:rPr>
          <w:rFonts w:cstheme="minorHAnsi"/>
          <w:bCs/>
          <w:color w:val="000000"/>
        </w:rPr>
      </w:pPr>
    </w:p>
    <w:p w14:paraId="356230C5" w14:textId="77777777" w:rsidR="00976A2C" w:rsidRPr="00C44585" w:rsidRDefault="00766597" w:rsidP="000B26BE">
      <w:pPr>
        <w:autoSpaceDE w:val="0"/>
        <w:autoSpaceDN w:val="0"/>
        <w:adjustRightInd w:val="0"/>
        <w:spacing w:after="0" w:line="240" w:lineRule="auto"/>
        <w:rPr>
          <w:rFonts w:cstheme="minorHAnsi"/>
          <w:b/>
          <w:bCs/>
          <w:color w:val="0070C0"/>
          <w:sz w:val="40"/>
          <w:szCs w:val="40"/>
        </w:rPr>
      </w:pPr>
      <w:r w:rsidRPr="00C44585">
        <w:rPr>
          <w:rFonts w:cstheme="minorHAnsi"/>
          <w:b/>
          <w:bCs/>
          <w:color w:val="0070C0"/>
          <w:sz w:val="40"/>
          <w:szCs w:val="40"/>
        </w:rPr>
        <w:t>Další podmínky:</w:t>
      </w:r>
    </w:p>
    <w:p w14:paraId="12F5CE96" w14:textId="77777777" w:rsidR="00766597" w:rsidRPr="009071F5" w:rsidRDefault="00766597" w:rsidP="00766597">
      <w:pPr>
        <w:numPr>
          <w:ilvl w:val="0"/>
          <w:numId w:val="4"/>
        </w:numPr>
        <w:autoSpaceDE w:val="0"/>
        <w:autoSpaceDN w:val="0"/>
        <w:adjustRightInd w:val="0"/>
        <w:spacing w:after="0" w:line="240" w:lineRule="auto"/>
        <w:rPr>
          <w:rFonts w:cstheme="minorHAnsi"/>
          <w:color w:val="000000"/>
        </w:rPr>
      </w:pPr>
      <w:r w:rsidRPr="009071F5">
        <w:rPr>
          <w:rFonts w:cstheme="minorHAnsi"/>
          <w:color w:val="000000"/>
        </w:rPr>
        <w:t xml:space="preserve">* Aktivity a výsledky projektu nevedou k významnému poškozování environmentálních cílů </w:t>
      </w:r>
    </w:p>
    <w:p w14:paraId="7B02FBDF" w14:textId="77777777" w:rsidR="00766597" w:rsidRPr="009071F5" w:rsidRDefault="00766597" w:rsidP="00766597">
      <w:pPr>
        <w:numPr>
          <w:ilvl w:val="0"/>
          <w:numId w:val="4"/>
        </w:numPr>
        <w:autoSpaceDE w:val="0"/>
        <w:autoSpaceDN w:val="0"/>
        <w:adjustRightInd w:val="0"/>
        <w:spacing w:after="0" w:line="240" w:lineRule="auto"/>
        <w:rPr>
          <w:rFonts w:cstheme="minorHAnsi"/>
          <w:color w:val="000000"/>
        </w:rPr>
      </w:pPr>
      <w:r w:rsidRPr="009071F5">
        <w:rPr>
          <w:rFonts w:cstheme="minorHAnsi"/>
          <w:color w:val="000000"/>
        </w:rPr>
        <w:t>* nelze schválit projekt, jehož obdoba je aktuálně administrována v OP PIK</w:t>
      </w:r>
    </w:p>
    <w:p w14:paraId="3C85A0BC" w14:textId="77777777" w:rsidR="00766597" w:rsidRPr="009071F5" w:rsidRDefault="00766597" w:rsidP="00766597">
      <w:pPr>
        <w:numPr>
          <w:ilvl w:val="0"/>
          <w:numId w:val="4"/>
        </w:numPr>
        <w:autoSpaceDE w:val="0"/>
        <w:autoSpaceDN w:val="0"/>
        <w:adjustRightInd w:val="0"/>
        <w:spacing w:after="0" w:line="240" w:lineRule="auto"/>
        <w:rPr>
          <w:rFonts w:cstheme="minorHAnsi"/>
          <w:color w:val="000000"/>
        </w:rPr>
      </w:pPr>
      <w:r w:rsidRPr="009071F5">
        <w:rPr>
          <w:rFonts w:cstheme="minorHAnsi"/>
          <w:color w:val="000000"/>
        </w:rPr>
        <w:t>* na 1 IČ lze podat pouze 1 žádost</w:t>
      </w:r>
    </w:p>
    <w:p w14:paraId="6D74168C" w14:textId="77777777" w:rsidR="00766597" w:rsidRPr="009071F5" w:rsidRDefault="00766597" w:rsidP="00766597">
      <w:pPr>
        <w:autoSpaceDE w:val="0"/>
        <w:autoSpaceDN w:val="0"/>
        <w:adjustRightInd w:val="0"/>
        <w:spacing w:after="0" w:line="240" w:lineRule="auto"/>
        <w:rPr>
          <w:rFonts w:cstheme="minorHAnsi"/>
          <w:color w:val="000000"/>
        </w:rPr>
      </w:pPr>
      <w:r w:rsidRPr="009071F5">
        <w:rPr>
          <w:rFonts w:cstheme="minorHAnsi"/>
          <w:color w:val="000000"/>
        </w:rPr>
        <w:t>* povinnou přílohou žádosti je Podnikatelský záměr dle povinné osnovy (</w:t>
      </w:r>
      <w:hyperlink r:id="rId14" w:history="1">
        <w:r w:rsidRPr="009071F5">
          <w:rPr>
            <w:rStyle w:val="Hypertextovodkaz"/>
            <w:rFonts w:cstheme="minorHAnsi"/>
          </w:rPr>
          <w:t>Příloha č. 3</w:t>
        </w:r>
      </w:hyperlink>
      <w:r w:rsidRPr="009071F5">
        <w:rPr>
          <w:rFonts w:cstheme="minorHAnsi"/>
          <w:color w:val="000000"/>
        </w:rPr>
        <w:t xml:space="preserve">), </w:t>
      </w:r>
    </w:p>
    <w:p w14:paraId="1991F94A" w14:textId="77777777" w:rsidR="00766597" w:rsidRPr="009071F5" w:rsidRDefault="00766597" w:rsidP="00766597">
      <w:pPr>
        <w:numPr>
          <w:ilvl w:val="0"/>
          <w:numId w:val="4"/>
        </w:numPr>
        <w:autoSpaceDE w:val="0"/>
        <w:autoSpaceDN w:val="0"/>
        <w:adjustRightInd w:val="0"/>
        <w:spacing w:after="0" w:line="240" w:lineRule="auto"/>
        <w:rPr>
          <w:rFonts w:cstheme="minorHAnsi"/>
          <w:color w:val="000000"/>
        </w:rPr>
      </w:pPr>
      <w:r w:rsidRPr="009071F5">
        <w:rPr>
          <w:rFonts w:cstheme="minorHAnsi"/>
          <w:color w:val="000000"/>
        </w:rPr>
        <w:t xml:space="preserve">* povinnou součástí žádosti jsou 2 indikativní cenové nabídky ke každé pořizované položce, vyjma nepřímých nákladů, </w:t>
      </w:r>
    </w:p>
    <w:p w14:paraId="10154C40" w14:textId="77777777" w:rsidR="000B26BE" w:rsidRPr="009071F5" w:rsidRDefault="00FE6D6F" w:rsidP="000B26BE">
      <w:pPr>
        <w:numPr>
          <w:ilvl w:val="0"/>
          <w:numId w:val="4"/>
        </w:numPr>
        <w:autoSpaceDE w:val="0"/>
        <w:autoSpaceDN w:val="0"/>
        <w:adjustRightInd w:val="0"/>
        <w:spacing w:after="0" w:line="240" w:lineRule="auto"/>
        <w:rPr>
          <w:rFonts w:cstheme="minorHAnsi"/>
          <w:color w:val="000000"/>
        </w:rPr>
      </w:pPr>
      <w:r w:rsidRPr="009071F5">
        <w:rPr>
          <w:rFonts w:cstheme="minorHAnsi"/>
          <w:color w:val="000000"/>
        </w:rPr>
        <w:t>* skutečné místo realizace projektu, tj. území, na kterém probíhá fyzická realizace a jsou uskutečňovány výdaje projektu</w:t>
      </w:r>
      <w:r w:rsidR="00247E5D" w:rsidRPr="009071F5">
        <w:rPr>
          <w:rFonts w:cstheme="minorHAnsi"/>
          <w:color w:val="000000"/>
        </w:rPr>
        <w:t>,</w:t>
      </w:r>
      <w:r w:rsidRPr="009071F5">
        <w:rPr>
          <w:rFonts w:cstheme="minorHAnsi"/>
          <w:color w:val="000000"/>
        </w:rPr>
        <w:t xml:space="preserve"> musí být na území MAS, sídlo žadatele nemusí být na území MAS. </w:t>
      </w:r>
    </w:p>
    <w:p w14:paraId="1C1AE7DA" w14:textId="77777777" w:rsidR="00C51BB5" w:rsidRPr="009071F5" w:rsidRDefault="00C51BB5" w:rsidP="00B81DC8">
      <w:pPr>
        <w:autoSpaceDE w:val="0"/>
        <w:autoSpaceDN w:val="0"/>
        <w:adjustRightInd w:val="0"/>
        <w:spacing w:after="0" w:line="240" w:lineRule="auto"/>
        <w:rPr>
          <w:rStyle w:val="markedcontent"/>
          <w:rFonts w:cstheme="minorHAnsi"/>
        </w:rPr>
      </w:pPr>
      <w:r w:rsidRPr="009071F5">
        <w:rPr>
          <w:rStyle w:val="markedcontent"/>
          <w:rFonts w:cstheme="minorHAnsi"/>
        </w:rPr>
        <w:t xml:space="preserve">* projekt musí splňovat </w:t>
      </w:r>
      <w:r w:rsidRPr="009071F5">
        <w:rPr>
          <w:rStyle w:val="markedcontent"/>
          <w:rFonts w:cstheme="minorHAnsi"/>
          <w:b/>
        </w:rPr>
        <w:t>„výrazný posun“</w:t>
      </w:r>
    </w:p>
    <w:p w14:paraId="4F3D5D4D" w14:textId="77777777" w:rsidR="00C51BB5" w:rsidRPr="009071F5" w:rsidRDefault="00FE43E0" w:rsidP="00B81DC8">
      <w:pPr>
        <w:autoSpaceDE w:val="0"/>
        <w:autoSpaceDN w:val="0"/>
        <w:adjustRightInd w:val="0"/>
        <w:spacing w:after="0" w:line="240" w:lineRule="auto"/>
        <w:rPr>
          <w:rStyle w:val="markedcontent"/>
          <w:rFonts w:cstheme="minorHAnsi"/>
        </w:rPr>
      </w:pPr>
      <w:r w:rsidRPr="009071F5">
        <w:rPr>
          <w:rStyle w:val="markedcontent"/>
          <w:rFonts w:cstheme="minorHAnsi"/>
        </w:rPr>
        <w:t>Realizací projektu</w:t>
      </w:r>
      <w:r w:rsidR="00C51BB5" w:rsidRPr="009071F5">
        <w:rPr>
          <w:rStyle w:val="markedcontent"/>
          <w:rFonts w:cstheme="minorHAnsi"/>
        </w:rPr>
        <w:t xml:space="preserve"> musí dojít k naplnění podmínek výrazného posunu v dané oblasti (podrobná definice viz </w:t>
      </w:r>
      <w:hyperlink r:id="rId15" w:history="1">
        <w:r w:rsidR="00C51BB5" w:rsidRPr="009071F5">
          <w:rPr>
            <w:rStyle w:val="Hypertextovodkaz"/>
            <w:rFonts w:cstheme="minorHAnsi"/>
          </w:rPr>
          <w:t>Přílo</w:t>
        </w:r>
        <w:r w:rsidR="00C51BB5" w:rsidRPr="009071F5">
          <w:rPr>
            <w:rStyle w:val="Hypertextovodkaz"/>
            <w:rFonts w:cstheme="minorHAnsi"/>
          </w:rPr>
          <w:t>h</w:t>
        </w:r>
        <w:r w:rsidR="00C51BB5" w:rsidRPr="009071F5">
          <w:rPr>
            <w:rStyle w:val="Hypertextovodkaz"/>
            <w:rFonts w:cstheme="minorHAnsi"/>
          </w:rPr>
          <w:t>a č.4</w:t>
        </w:r>
      </w:hyperlink>
      <w:r w:rsidR="00C51BB5" w:rsidRPr="009071F5">
        <w:rPr>
          <w:rStyle w:val="markedcontent"/>
          <w:rFonts w:cstheme="minorHAnsi"/>
        </w:rPr>
        <w:t xml:space="preserve"> str. 8</w:t>
      </w:r>
      <w:r w:rsidRPr="009071F5">
        <w:rPr>
          <w:rStyle w:val="markedcontent"/>
          <w:rFonts w:cstheme="minorHAnsi"/>
        </w:rPr>
        <w:t>)</w:t>
      </w:r>
    </w:p>
    <w:p w14:paraId="00313B47" w14:textId="77777777" w:rsidR="00C51BB5" w:rsidRPr="009071F5" w:rsidRDefault="00C51BB5" w:rsidP="00B81DC8">
      <w:pPr>
        <w:autoSpaceDE w:val="0"/>
        <w:autoSpaceDN w:val="0"/>
        <w:adjustRightInd w:val="0"/>
        <w:spacing w:after="0" w:line="240" w:lineRule="auto"/>
        <w:rPr>
          <w:rFonts w:cstheme="minorHAnsi"/>
          <w:b/>
          <w:bCs/>
          <w:color w:val="000000"/>
        </w:rPr>
      </w:pPr>
    </w:p>
    <w:p w14:paraId="7BBBC045" w14:textId="77777777" w:rsidR="00B81DC8" w:rsidRPr="00B81DC8" w:rsidRDefault="00FE43E0" w:rsidP="00B81DC8">
      <w:pPr>
        <w:autoSpaceDE w:val="0"/>
        <w:autoSpaceDN w:val="0"/>
        <w:adjustRightInd w:val="0"/>
        <w:spacing w:after="0" w:line="240" w:lineRule="auto"/>
        <w:rPr>
          <w:rFonts w:cstheme="minorHAnsi"/>
          <w:color w:val="000000"/>
        </w:rPr>
      </w:pPr>
      <w:r w:rsidRPr="009071F5">
        <w:rPr>
          <w:rStyle w:val="markedcontent"/>
          <w:rFonts w:cstheme="minorHAnsi"/>
        </w:rPr>
        <w:t xml:space="preserve">* projekt musí splňovat podmínky </w:t>
      </w:r>
      <w:r w:rsidR="00B81DC8" w:rsidRPr="00B81DC8">
        <w:rPr>
          <w:rFonts w:cstheme="minorHAnsi"/>
          <w:b/>
          <w:bCs/>
          <w:color w:val="000000"/>
        </w:rPr>
        <w:t xml:space="preserve">Integrace </w:t>
      </w:r>
    </w:p>
    <w:p w14:paraId="6CCC2115" w14:textId="77777777" w:rsidR="00B81DC8" w:rsidRPr="00B81DC8" w:rsidRDefault="00B81DC8" w:rsidP="00B81DC8">
      <w:pPr>
        <w:autoSpaceDE w:val="0"/>
        <w:autoSpaceDN w:val="0"/>
        <w:adjustRightInd w:val="0"/>
        <w:spacing w:after="0" w:line="240" w:lineRule="auto"/>
        <w:rPr>
          <w:rFonts w:cstheme="minorHAnsi"/>
          <w:color w:val="000000"/>
          <w:sz w:val="16"/>
          <w:szCs w:val="16"/>
        </w:rPr>
      </w:pPr>
      <w:r w:rsidRPr="00B81DC8">
        <w:rPr>
          <w:rFonts w:cstheme="minorHAnsi"/>
          <w:color w:val="000000"/>
          <w:sz w:val="16"/>
          <w:szCs w:val="16"/>
        </w:rPr>
        <w:t>Systémová integrace musí proběhnout alespoň na úrovni pořizované/</w:t>
      </w:r>
      <w:proofErr w:type="spellStart"/>
      <w:r w:rsidRPr="00B81DC8">
        <w:rPr>
          <w:rFonts w:cstheme="minorHAnsi"/>
          <w:color w:val="000000"/>
          <w:sz w:val="16"/>
          <w:szCs w:val="16"/>
        </w:rPr>
        <w:t>ých</w:t>
      </w:r>
      <w:proofErr w:type="spellEnd"/>
      <w:r w:rsidRPr="00B81DC8">
        <w:rPr>
          <w:rFonts w:cstheme="minorHAnsi"/>
          <w:color w:val="000000"/>
          <w:sz w:val="16"/>
          <w:szCs w:val="16"/>
        </w:rPr>
        <w:t xml:space="preserve"> a stávající/ch technologie/í nebo různých pořizovaných (SW+HW). Bude posuzováno, zda pořízené řešení splňuje předpoklad kompatibility a integrace na základě uvedených a dostupných informací. </w:t>
      </w:r>
    </w:p>
    <w:p w14:paraId="6E1E212E" w14:textId="77777777" w:rsidR="00247E5D" w:rsidRPr="009071F5" w:rsidRDefault="00B81DC8" w:rsidP="00B81DC8">
      <w:pPr>
        <w:rPr>
          <w:rFonts w:cstheme="minorHAnsi"/>
          <w:color w:val="000000"/>
          <w:sz w:val="16"/>
          <w:szCs w:val="16"/>
        </w:rPr>
      </w:pPr>
      <w:r w:rsidRPr="00B81DC8">
        <w:rPr>
          <w:rFonts w:cstheme="minorHAnsi"/>
          <w:color w:val="000000"/>
          <w:sz w:val="16"/>
          <w:szCs w:val="16"/>
        </w:rPr>
        <w:t xml:space="preserve">Žadatel popíše, mezi jakými technologiemi a jakým způsobem bude po realizaci projektu probíhat datová komunikace. </w:t>
      </w:r>
    </w:p>
    <w:p w14:paraId="14EBD9F9" w14:textId="77777777" w:rsidR="00AA7037" w:rsidRPr="009071F5" w:rsidRDefault="009071F5" w:rsidP="00AA7037">
      <w:pPr>
        <w:pStyle w:val="Default"/>
        <w:rPr>
          <w:rFonts w:asciiTheme="minorHAnsi" w:hAnsiTheme="minorHAnsi" w:cstheme="minorHAnsi"/>
          <w:b/>
          <w:bCs/>
          <w:sz w:val="22"/>
          <w:szCs w:val="22"/>
        </w:rPr>
      </w:pPr>
      <w:r w:rsidRPr="009071F5">
        <w:rPr>
          <w:rFonts w:asciiTheme="minorHAnsi" w:hAnsiTheme="minorHAnsi" w:cstheme="minorHAnsi"/>
          <w:bCs/>
          <w:sz w:val="22"/>
          <w:szCs w:val="22"/>
        </w:rPr>
        <w:t xml:space="preserve">* </w:t>
      </w:r>
      <w:r w:rsidR="00FE43E0" w:rsidRPr="009071F5">
        <w:rPr>
          <w:rFonts w:asciiTheme="minorHAnsi" w:hAnsiTheme="minorHAnsi" w:cstheme="minorHAnsi"/>
          <w:bCs/>
          <w:sz w:val="22"/>
          <w:szCs w:val="22"/>
        </w:rPr>
        <w:t>Projekt musí být</w:t>
      </w:r>
      <w:r w:rsidR="00FE43E0" w:rsidRPr="009071F5">
        <w:rPr>
          <w:rFonts w:asciiTheme="minorHAnsi" w:hAnsiTheme="minorHAnsi" w:cstheme="minorHAnsi"/>
          <w:b/>
          <w:bCs/>
          <w:sz w:val="22"/>
          <w:szCs w:val="22"/>
        </w:rPr>
        <w:t xml:space="preserve"> přínosný:</w:t>
      </w:r>
    </w:p>
    <w:p w14:paraId="3715ED77" w14:textId="77777777" w:rsidR="00B81DC8" w:rsidRPr="009071F5" w:rsidRDefault="00B81DC8" w:rsidP="00B81DC8">
      <w:pPr>
        <w:autoSpaceDE w:val="0"/>
        <w:autoSpaceDN w:val="0"/>
        <w:adjustRightInd w:val="0"/>
        <w:spacing w:after="0" w:line="240" w:lineRule="auto"/>
        <w:rPr>
          <w:rFonts w:cstheme="minorHAnsi"/>
          <w:color w:val="000000"/>
        </w:rPr>
      </w:pPr>
      <w:r w:rsidRPr="00B81DC8">
        <w:rPr>
          <w:rFonts w:cstheme="minorHAnsi"/>
          <w:color w:val="000000"/>
        </w:rPr>
        <w:t xml:space="preserve">Realizací projektu dojde k naplnění </w:t>
      </w:r>
      <w:r w:rsidRPr="00B81DC8">
        <w:rPr>
          <w:rFonts w:cstheme="minorHAnsi"/>
          <w:b/>
          <w:color w:val="000000"/>
        </w:rPr>
        <w:t>minimálně jedné oblasti z níže uvedených</w:t>
      </w:r>
      <w:r w:rsidRPr="00B81DC8">
        <w:rPr>
          <w:rFonts w:cstheme="minorHAnsi"/>
          <w:color w:val="000000"/>
        </w:rPr>
        <w:t xml:space="preserve"> a.-c.: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92"/>
        <w:gridCol w:w="8363"/>
      </w:tblGrid>
      <w:tr w:rsidR="00B81DC8" w:rsidRPr="00B81DC8" w14:paraId="319811E8" w14:textId="77777777" w:rsidTr="009071F5">
        <w:trPr>
          <w:trHeight w:val="437"/>
        </w:trPr>
        <w:tc>
          <w:tcPr>
            <w:tcW w:w="392" w:type="dxa"/>
          </w:tcPr>
          <w:p w14:paraId="5F43B70F" w14:textId="77777777" w:rsidR="00B81DC8" w:rsidRPr="00B81DC8" w:rsidRDefault="00B81DC8" w:rsidP="00B81DC8">
            <w:pPr>
              <w:autoSpaceDE w:val="0"/>
              <w:autoSpaceDN w:val="0"/>
              <w:adjustRightInd w:val="0"/>
              <w:spacing w:after="0" w:line="240" w:lineRule="auto"/>
              <w:rPr>
                <w:rFonts w:cstheme="minorHAnsi"/>
                <w:color w:val="000000"/>
              </w:rPr>
            </w:pPr>
            <w:r w:rsidRPr="00B81DC8">
              <w:rPr>
                <w:rFonts w:cstheme="minorHAnsi"/>
                <w:color w:val="000000"/>
              </w:rPr>
              <w:t xml:space="preserve">a. </w:t>
            </w:r>
          </w:p>
        </w:tc>
        <w:tc>
          <w:tcPr>
            <w:tcW w:w="8363" w:type="dxa"/>
          </w:tcPr>
          <w:p w14:paraId="43D2A991" w14:textId="77777777" w:rsidR="00B81DC8" w:rsidRPr="009071F5" w:rsidRDefault="00B81DC8" w:rsidP="00B81DC8">
            <w:pPr>
              <w:autoSpaceDE w:val="0"/>
              <w:autoSpaceDN w:val="0"/>
              <w:adjustRightInd w:val="0"/>
              <w:spacing w:after="0" w:line="240" w:lineRule="auto"/>
              <w:rPr>
                <w:rFonts w:cstheme="minorHAnsi"/>
                <w:color w:val="000000"/>
                <w:sz w:val="16"/>
                <w:szCs w:val="16"/>
              </w:rPr>
            </w:pPr>
            <w:r w:rsidRPr="00B81DC8">
              <w:rPr>
                <w:rFonts w:cstheme="minorHAnsi"/>
                <w:b/>
                <w:bCs/>
                <w:color w:val="000000"/>
                <w:sz w:val="16"/>
                <w:szCs w:val="16"/>
              </w:rPr>
              <w:t xml:space="preserve">Robotizace – </w:t>
            </w:r>
            <w:r w:rsidRPr="00B81DC8">
              <w:rPr>
                <w:rFonts w:cstheme="minorHAnsi"/>
                <w:color w:val="000000"/>
                <w:sz w:val="16"/>
                <w:szCs w:val="16"/>
              </w:rPr>
              <w:t xml:space="preserve">fyzický úkon člověka, který neslouží přímo k výrobě, bude nahrazen fyzickým úkonem stroje </w:t>
            </w:r>
          </w:p>
          <w:p w14:paraId="03C007D5" w14:textId="77777777" w:rsidR="00B81DC8" w:rsidRPr="009071F5" w:rsidRDefault="00B81DC8" w:rsidP="00B81DC8">
            <w:pPr>
              <w:pStyle w:val="Default"/>
              <w:rPr>
                <w:rFonts w:asciiTheme="minorHAnsi" w:hAnsiTheme="minorHAnsi" w:cstheme="minorHAnsi"/>
                <w:sz w:val="16"/>
                <w:szCs w:val="16"/>
              </w:rPr>
            </w:pPr>
            <w:r w:rsidRPr="009071F5">
              <w:rPr>
                <w:rFonts w:asciiTheme="minorHAnsi" w:hAnsiTheme="minorHAnsi" w:cstheme="minorHAnsi"/>
                <w:sz w:val="16"/>
                <w:szCs w:val="16"/>
              </w:rPr>
              <w:t xml:space="preserve">(např. pohyby výrobků, obrobků nebo materiálů, výměna nástrojů, regulace ventilů potrubí plynů či kapalin atp.) </w:t>
            </w:r>
          </w:p>
          <w:p w14:paraId="78F915EC" w14:textId="77777777" w:rsidR="00B81DC8" w:rsidRPr="009071F5" w:rsidRDefault="00B81DC8" w:rsidP="00B81DC8">
            <w:pPr>
              <w:pStyle w:val="Default"/>
              <w:rPr>
                <w:rFonts w:asciiTheme="minorHAnsi" w:hAnsiTheme="minorHAnsi" w:cstheme="minorHAnsi"/>
                <w:sz w:val="16"/>
                <w:szCs w:val="16"/>
              </w:rPr>
            </w:pPr>
            <w:r w:rsidRPr="009071F5">
              <w:rPr>
                <w:rFonts w:asciiTheme="minorHAnsi" w:hAnsiTheme="minorHAnsi" w:cstheme="minorHAnsi"/>
                <w:b/>
                <w:bCs/>
                <w:sz w:val="16"/>
                <w:szCs w:val="16"/>
              </w:rPr>
              <w:t xml:space="preserve">Automatizace – </w:t>
            </w:r>
            <w:r w:rsidRPr="009071F5">
              <w:rPr>
                <w:rFonts w:asciiTheme="minorHAnsi" w:hAnsiTheme="minorHAnsi" w:cstheme="minorHAnsi"/>
                <w:sz w:val="16"/>
                <w:szCs w:val="16"/>
              </w:rPr>
              <w:t xml:space="preserve">úsudek člověka bude nahrazen úsudkem SW (např. spuštění, zastavení či přerušení operace, kalkulace ceny zakázky dle času a/nebo materiálu, výpočet mzdy na základě odpracovaného času, detekce chyby/zmetku, vyhodnocení fyzikálních veličin atp.) </w:t>
            </w:r>
          </w:p>
          <w:p w14:paraId="06CAEAA3" w14:textId="77777777" w:rsidR="00B81DC8" w:rsidRPr="00B81DC8" w:rsidRDefault="00B81DC8" w:rsidP="009071F5">
            <w:pPr>
              <w:pStyle w:val="Default"/>
              <w:rPr>
                <w:rFonts w:asciiTheme="minorHAnsi" w:hAnsiTheme="minorHAnsi" w:cstheme="minorHAnsi"/>
                <w:sz w:val="16"/>
                <w:szCs w:val="16"/>
              </w:rPr>
            </w:pPr>
            <w:r w:rsidRPr="009071F5">
              <w:rPr>
                <w:rFonts w:asciiTheme="minorHAnsi" w:hAnsiTheme="minorHAnsi" w:cstheme="minorHAnsi"/>
                <w:b/>
                <w:bCs/>
                <w:sz w:val="16"/>
                <w:szCs w:val="16"/>
              </w:rPr>
              <w:t xml:space="preserve">Digitalizace – </w:t>
            </w:r>
            <w:r w:rsidRPr="009071F5">
              <w:rPr>
                <w:rFonts w:asciiTheme="minorHAnsi" w:hAnsiTheme="minorHAnsi" w:cstheme="minorHAnsi"/>
                <w:sz w:val="16"/>
                <w:szCs w:val="16"/>
              </w:rPr>
              <w:t xml:space="preserve">výrobek bude vyvíjen v CAD/CAM, skladové hospodářství a zásoby budou systémově evidovány, EDI, bude implementován podnikový IS (např. ERP, MES, APS, WMS apod.) </w:t>
            </w:r>
          </w:p>
        </w:tc>
      </w:tr>
      <w:tr w:rsidR="00B81DC8" w:rsidRPr="009071F5" w14:paraId="4D61658C" w14:textId="77777777" w:rsidTr="009071F5">
        <w:trPr>
          <w:trHeight w:val="437"/>
        </w:trPr>
        <w:tc>
          <w:tcPr>
            <w:tcW w:w="392" w:type="dxa"/>
          </w:tcPr>
          <w:p w14:paraId="31F3CEF1" w14:textId="77777777" w:rsidR="00B81DC8" w:rsidRPr="009071F5" w:rsidRDefault="009071F5" w:rsidP="00B81DC8">
            <w:pPr>
              <w:autoSpaceDE w:val="0"/>
              <w:autoSpaceDN w:val="0"/>
              <w:adjustRightInd w:val="0"/>
              <w:spacing w:after="0" w:line="240" w:lineRule="auto"/>
              <w:rPr>
                <w:rFonts w:cstheme="minorHAnsi"/>
                <w:color w:val="000000"/>
              </w:rPr>
            </w:pPr>
            <w:r w:rsidRPr="009071F5">
              <w:rPr>
                <w:rFonts w:cstheme="minorHAnsi"/>
                <w:color w:val="000000"/>
              </w:rPr>
              <w:t>b</w:t>
            </w:r>
            <w:r w:rsidRPr="00B81DC8">
              <w:rPr>
                <w:rFonts w:cstheme="minorHAnsi"/>
                <w:color w:val="000000"/>
              </w:rPr>
              <w:t>.</w:t>
            </w:r>
          </w:p>
        </w:tc>
        <w:tc>
          <w:tcPr>
            <w:tcW w:w="8363" w:type="dxa"/>
          </w:tcPr>
          <w:p w14:paraId="7156CF56" w14:textId="77777777" w:rsidR="00B81DC8" w:rsidRPr="009071F5" w:rsidRDefault="00B81DC8" w:rsidP="00B81DC8">
            <w:pPr>
              <w:pStyle w:val="Default"/>
              <w:rPr>
                <w:rFonts w:asciiTheme="minorHAnsi" w:hAnsiTheme="minorHAnsi" w:cstheme="minorHAnsi"/>
                <w:sz w:val="16"/>
                <w:szCs w:val="16"/>
              </w:rPr>
            </w:pPr>
            <w:r w:rsidRPr="009071F5">
              <w:rPr>
                <w:rFonts w:asciiTheme="minorHAnsi" w:hAnsiTheme="minorHAnsi" w:cstheme="minorHAnsi"/>
                <w:b/>
                <w:bCs/>
                <w:sz w:val="16"/>
                <w:szCs w:val="16"/>
              </w:rPr>
              <w:t xml:space="preserve">E-shop – </w:t>
            </w:r>
            <w:r w:rsidRPr="009071F5">
              <w:rPr>
                <w:rFonts w:asciiTheme="minorHAnsi" w:hAnsiTheme="minorHAnsi" w:cstheme="minorHAnsi"/>
                <w:sz w:val="16"/>
                <w:szCs w:val="16"/>
              </w:rPr>
              <w:t xml:space="preserve">webové stránky a obchod budou integrovány se skladovým hospodářstvím, systémem plánování výroby atp. (např. čas dodání a další) </w:t>
            </w:r>
          </w:p>
          <w:p w14:paraId="2A5D03A4" w14:textId="77777777" w:rsidR="00B81DC8" w:rsidRPr="009071F5" w:rsidRDefault="00B81DC8" w:rsidP="00B81DC8">
            <w:pPr>
              <w:autoSpaceDE w:val="0"/>
              <w:autoSpaceDN w:val="0"/>
              <w:adjustRightInd w:val="0"/>
              <w:spacing w:after="0" w:line="240" w:lineRule="auto"/>
              <w:rPr>
                <w:rFonts w:cstheme="minorHAnsi"/>
                <w:b/>
                <w:bCs/>
                <w:color w:val="000000"/>
                <w:sz w:val="16"/>
                <w:szCs w:val="16"/>
              </w:rPr>
            </w:pPr>
            <w:r w:rsidRPr="009071F5">
              <w:rPr>
                <w:rFonts w:cstheme="minorHAnsi"/>
                <w:b/>
                <w:bCs/>
                <w:sz w:val="16"/>
                <w:szCs w:val="16"/>
              </w:rPr>
              <w:t xml:space="preserve">Cloud </w:t>
            </w:r>
            <w:proofErr w:type="spellStart"/>
            <w:r w:rsidRPr="009071F5">
              <w:rPr>
                <w:rFonts w:cstheme="minorHAnsi"/>
                <w:b/>
                <w:bCs/>
                <w:sz w:val="16"/>
                <w:szCs w:val="16"/>
              </w:rPr>
              <w:t>computing</w:t>
            </w:r>
            <w:proofErr w:type="spellEnd"/>
            <w:r w:rsidRPr="009071F5">
              <w:rPr>
                <w:rFonts w:cstheme="minorHAnsi"/>
                <w:b/>
                <w:bCs/>
                <w:sz w:val="16"/>
                <w:szCs w:val="16"/>
              </w:rPr>
              <w:t xml:space="preserve"> – </w:t>
            </w:r>
            <w:r w:rsidRPr="009071F5">
              <w:rPr>
                <w:rFonts w:cstheme="minorHAnsi"/>
                <w:sz w:val="16"/>
                <w:szCs w:val="16"/>
              </w:rPr>
              <w:t xml:space="preserve">žadatel využije služby či programy poskytované na serverech dostupných vzdáleným přístupem z internetu – dočasné/jednorázové licence (např. 3D vizualizace produktů, pronájem výpočetního výkonu, vzdálené cloudové servery, dočasná licence CAD atp.) </w:t>
            </w:r>
          </w:p>
        </w:tc>
      </w:tr>
      <w:tr w:rsidR="00B81DC8" w:rsidRPr="009071F5" w14:paraId="7021A70E" w14:textId="77777777" w:rsidTr="009071F5">
        <w:trPr>
          <w:trHeight w:val="437"/>
        </w:trPr>
        <w:tc>
          <w:tcPr>
            <w:tcW w:w="392" w:type="dxa"/>
          </w:tcPr>
          <w:p w14:paraId="2C8183D4" w14:textId="77777777" w:rsidR="00B81DC8" w:rsidRPr="009071F5" w:rsidRDefault="009071F5" w:rsidP="00B81DC8">
            <w:pPr>
              <w:autoSpaceDE w:val="0"/>
              <w:autoSpaceDN w:val="0"/>
              <w:adjustRightInd w:val="0"/>
              <w:spacing w:after="0" w:line="240" w:lineRule="auto"/>
              <w:rPr>
                <w:rFonts w:cstheme="minorHAnsi"/>
                <w:color w:val="000000"/>
              </w:rPr>
            </w:pPr>
            <w:r w:rsidRPr="009071F5">
              <w:rPr>
                <w:rFonts w:cstheme="minorHAnsi"/>
                <w:color w:val="000000"/>
              </w:rPr>
              <w:t>c</w:t>
            </w:r>
            <w:r w:rsidRPr="00B81DC8">
              <w:rPr>
                <w:rFonts w:cstheme="minorHAnsi"/>
                <w:color w:val="000000"/>
              </w:rPr>
              <w:t>.</w:t>
            </w:r>
          </w:p>
        </w:tc>
        <w:tc>
          <w:tcPr>
            <w:tcW w:w="8363" w:type="dxa"/>
          </w:tcPr>
          <w:p w14:paraId="7FAB18EE" w14:textId="77777777" w:rsidR="00B81DC8" w:rsidRPr="009071F5" w:rsidRDefault="00B81DC8" w:rsidP="00B81DC8">
            <w:pPr>
              <w:pStyle w:val="Default"/>
              <w:rPr>
                <w:rFonts w:asciiTheme="minorHAnsi" w:hAnsiTheme="minorHAnsi" w:cstheme="minorHAnsi"/>
                <w:sz w:val="16"/>
                <w:szCs w:val="16"/>
              </w:rPr>
            </w:pPr>
            <w:r w:rsidRPr="009071F5">
              <w:rPr>
                <w:rFonts w:asciiTheme="minorHAnsi" w:hAnsiTheme="minorHAnsi" w:cstheme="minorHAnsi"/>
                <w:b/>
                <w:bCs/>
                <w:sz w:val="16"/>
                <w:szCs w:val="16"/>
              </w:rPr>
              <w:t xml:space="preserve">Komunikační infrastruktura – </w:t>
            </w:r>
            <w:r w:rsidRPr="009071F5">
              <w:rPr>
                <w:rFonts w:asciiTheme="minorHAnsi" w:hAnsiTheme="minorHAnsi" w:cstheme="minorHAnsi"/>
                <w:sz w:val="16"/>
                <w:szCs w:val="16"/>
              </w:rPr>
              <w:t xml:space="preserve">budou instalována zařízení určená k přenosu dat (např. kabeláž, servery, komunikační převodníky mezi technologiemi a systémy, modemy, routery atp.) </w:t>
            </w:r>
          </w:p>
          <w:p w14:paraId="61E85626" w14:textId="77777777" w:rsidR="00B81DC8" w:rsidRPr="009071F5" w:rsidRDefault="00B81DC8" w:rsidP="00B81DC8">
            <w:pPr>
              <w:autoSpaceDE w:val="0"/>
              <w:autoSpaceDN w:val="0"/>
              <w:adjustRightInd w:val="0"/>
              <w:spacing w:after="0" w:line="240" w:lineRule="auto"/>
              <w:rPr>
                <w:rFonts w:cstheme="minorHAnsi"/>
                <w:b/>
                <w:bCs/>
                <w:color w:val="000000"/>
                <w:sz w:val="16"/>
                <w:szCs w:val="16"/>
              </w:rPr>
            </w:pPr>
            <w:r w:rsidRPr="009071F5">
              <w:rPr>
                <w:rFonts w:cstheme="minorHAnsi"/>
                <w:b/>
                <w:bCs/>
                <w:sz w:val="16"/>
                <w:szCs w:val="16"/>
              </w:rPr>
              <w:t xml:space="preserve">Identifikační infrastruktura – </w:t>
            </w:r>
            <w:r w:rsidRPr="009071F5">
              <w:rPr>
                <w:rFonts w:cstheme="minorHAnsi"/>
                <w:sz w:val="16"/>
                <w:szCs w:val="16"/>
              </w:rPr>
              <w:t xml:space="preserve">budou implementovány prvky sloužící </w:t>
            </w:r>
          </w:p>
          <w:p w14:paraId="293DDB07" w14:textId="77777777" w:rsidR="00B81DC8" w:rsidRPr="009071F5" w:rsidRDefault="00B81DC8" w:rsidP="00B81DC8">
            <w:pPr>
              <w:pStyle w:val="Default"/>
              <w:rPr>
                <w:rFonts w:asciiTheme="minorHAnsi" w:hAnsiTheme="minorHAnsi" w:cstheme="minorHAnsi"/>
                <w:sz w:val="16"/>
                <w:szCs w:val="16"/>
              </w:rPr>
            </w:pPr>
            <w:r w:rsidRPr="009071F5">
              <w:rPr>
                <w:rFonts w:asciiTheme="minorHAnsi" w:hAnsiTheme="minorHAnsi" w:cstheme="minorHAnsi"/>
                <w:sz w:val="16"/>
                <w:szCs w:val="16"/>
              </w:rPr>
              <w:t xml:space="preserve">k identifikaci strojů, nástrojů, výrobků, materiálu či pracovníků (např. čárové/QR kódy, RFID, CCID, čtečky, tablety atp.) </w:t>
            </w:r>
          </w:p>
          <w:p w14:paraId="4508729C" w14:textId="77777777" w:rsidR="00B81DC8" w:rsidRPr="009071F5" w:rsidRDefault="00B81DC8" w:rsidP="00B81DC8">
            <w:pPr>
              <w:autoSpaceDE w:val="0"/>
              <w:autoSpaceDN w:val="0"/>
              <w:adjustRightInd w:val="0"/>
              <w:spacing w:after="0" w:line="240" w:lineRule="auto"/>
              <w:rPr>
                <w:rFonts w:cstheme="minorHAnsi"/>
                <w:b/>
                <w:bCs/>
                <w:color w:val="000000"/>
                <w:sz w:val="16"/>
                <w:szCs w:val="16"/>
              </w:rPr>
            </w:pPr>
            <w:r w:rsidRPr="009071F5">
              <w:rPr>
                <w:rFonts w:cstheme="minorHAnsi"/>
                <w:b/>
                <w:bCs/>
                <w:sz w:val="16"/>
                <w:szCs w:val="16"/>
              </w:rPr>
              <w:t xml:space="preserve">Výpočetní technika – </w:t>
            </w:r>
            <w:r w:rsidRPr="009071F5">
              <w:rPr>
                <w:rFonts w:cstheme="minorHAnsi"/>
                <w:sz w:val="16"/>
                <w:szCs w:val="16"/>
              </w:rPr>
              <w:t xml:space="preserve">budou pořízena zařízení potřebná k bezvadnému provozu a implementaci SW, která jsou součástí projektu. Nejedná se o prostou obnovu majetku, pakliže je současné vybavení dostatečné pro provoz pořizovaných SW. </w:t>
            </w:r>
          </w:p>
        </w:tc>
      </w:tr>
    </w:tbl>
    <w:p w14:paraId="5612C2DD" w14:textId="77777777" w:rsidR="00B81DC8" w:rsidRPr="009071F5" w:rsidRDefault="00B81DC8" w:rsidP="00AA7037">
      <w:pPr>
        <w:pStyle w:val="Default"/>
        <w:rPr>
          <w:rFonts w:asciiTheme="minorHAnsi" w:hAnsiTheme="minorHAnsi" w:cstheme="minorHAnsi"/>
          <w:bCs/>
          <w:sz w:val="22"/>
          <w:szCs w:val="22"/>
        </w:rPr>
      </w:pPr>
    </w:p>
    <w:p w14:paraId="28CA7F03" w14:textId="77777777" w:rsidR="00AA7037" w:rsidRPr="009071F5" w:rsidRDefault="00AA7037" w:rsidP="00AA7037">
      <w:pPr>
        <w:pStyle w:val="Default"/>
        <w:rPr>
          <w:rFonts w:asciiTheme="minorHAnsi" w:hAnsiTheme="minorHAnsi" w:cstheme="minorHAnsi"/>
          <w:sz w:val="22"/>
          <w:szCs w:val="22"/>
        </w:rPr>
      </w:pPr>
    </w:p>
    <w:p w14:paraId="7B77710D" w14:textId="77777777" w:rsidR="00C44585" w:rsidRPr="00FC1B42" w:rsidRDefault="00C44585" w:rsidP="00CB152D">
      <w:pPr>
        <w:rPr>
          <w:rFonts w:cstheme="minorHAnsi"/>
          <w:b/>
          <w:color w:val="0070C0"/>
          <w:sz w:val="40"/>
          <w:szCs w:val="40"/>
        </w:rPr>
      </w:pPr>
      <w:r w:rsidRPr="00FC1B42">
        <w:rPr>
          <w:rFonts w:cstheme="minorHAnsi"/>
          <w:b/>
          <w:color w:val="0070C0"/>
          <w:sz w:val="40"/>
          <w:szCs w:val="40"/>
        </w:rPr>
        <w:t>Průběh administrace:</w:t>
      </w:r>
    </w:p>
    <w:p w14:paraId="3038ED32" w14:textId="77777777" w:rsidR="00FC1B42" w:rsidRDefault="00C44585" w:rsidP="00CB152D">
      <w:pPr>
        <w:rPr>
          <w:rFonts w:cstheme="minorHAnsi"/>
        </w:rPr>
      </w:pPr>
      <w:r>
        <w:rPr>
          <w:rFonts w:cstheme="minorHAnsi"/>
        </w:rPr>
        <w:t>MAS vyhlásí vlastní výzvu k předložení projektových záměrů na MAS (</w:t>
      </w:r>
      <w:r w:rsidR="00FC1B42">
        <w:rPr>
          <w:rFonts w:cstheme="minorHAnsi"/>
        </w:rPr>
        <w:t xml:space="preserve">odhad léto 2023, </w:t>
      </w:r>
      <w:r>
        <w:rPr>
          <w:rFonts w:cstheme="minorHAnsi"/>
        </w:rPr>
        <w:t>mimo monitorovací systém MS2021+)</w:t>
      </w:r>
      <w:r w:rsidR="00FC1B42">
        <w:rPr>
          <w:rFonts w:cstheme="minorHAnsi"/>
        </w:rPr>
        <w:t xml:space="preserve"> s alokací cca 3.000.000 Kč, bude tedy možno podpořit projekty v celkovém úhrnu cca 6 mil. Kč způsobilých výdajů. </w:t>
      </w:r>
      <w:r>
        <w:rPr>
          <w:rFonts w:cstheme="minorHAnsi"/>
        </w:rPr>
        <w:t>MAS na základě vlastních preferenčních kritérií oboduje žádosti a stanoví pořadí.</w:t>
      </w:r>
      <w:r w:rsidR="00FC1B42">
        <w:rPr>
          <w:rFonts w:cstheme="minorHAnsi"/>
        </w:rPr>
        <w:t xml:space="preserve"> Projekty s nejvyšším počtem bodů až do vyčerpání alokace Výzvy obdrží od MAS doporučení k získání dotace. Projekty budou dopracovány žadatelem a podány přes MS2021+ k posouzení na ŘO OP TAK (odhad do konce roku 2023). V roce 2024 dojde k realizaci projektů.</w:t>
      </w:r>
    </w:p>
    <w:p w14:paraId="12F0592E" w14:textId="77777777" w:rsidR="009E62B3" w:rsidRPr="00FC1B42" w:rsidRDefault="00C44585" w:rsidP="00CB152D">
      <w:pPr>
        <w:rPr>
          <w:rFonts w:cstheme="minorHAnsi"/>
          <w:b/>
          <w:color w:val="0070C0"/>
          <w:sz w:val="40"/>
          <w:szCs w:val="40"/>
        </w:rPr>
      </w:pPr>
      <w:r w:rsidRPr="00FC1B42">
        <w:rPr>
          <w:rFonts w:cstheme="minorHAnsi"/>
          <w:b/>
          <w:color w:val="0070C0"/>
          <w:sz w:val="40"/>
          <w:szCs w:val="40"/>
        </w:rPr>
        <w:t>Další informace, možnost bezplatných konzultací:</w:t>
      </w:r>
    </w:p>
    <w:p w14:paraId="11527A6E" w14:textId="6AAA3390" w:rsidR="00C44585" w:rsidRDefault="003A6011" w:rsidP="00CB152D">
      <w:pPr>
        <w:rPr>
          <w:rFonts w:cstheme="minorHAnsi"/>
        </w:rPr>
      </w:pPr>
      <w:hyperlink r:id="rId16" w:history="1">
        <w:r w:rsidRPr="003A6011">
          <w:rPr>
            <w:rStyle w:val="Hypertextovodkaz"/>
            <w:rFonts w:cstheme="minorHAnsi"/>
          </w:rPr>
          <w:t>https://mas.hanackyvenkov.cz/op-tak</w:t>
        </w:r>
      </w:hyperlink>
    </w:p>
    <w:p w14:paraId="0C61AF18" w14:textId="74586772" w:rsidR="003A6011" w:rsidRPr="009071F5" w:rsidRDefault="003A6011" w:rsidP="00CB152D">
      <w:pPr>
        <w:rPr>
          <w:rFonts w:cstheme="minorHAnsi"/>
        </w:rPr>
      </w:pPr>
      <w:r>
        <w:rPr>
          <w:rFonts w:cstheme="minorHAnsi"/>
        </w:rPr>
        <w:t>Libor Cesar, 601 591 909</w:t>
      </w:r>
    </w:p>
    <w:sectPr w:rsidR="003A6011" w:rsidRPr="009071F5">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68AB" w14:textId="77777777" w:rsidR="00B548F4" w:rsidRDefault="00B548F4" w:rsidP="009071F5">
      <w:pPr>
        <w:spacing w:after="0" w:line="240" w:lineRule="auto"/>
      </w:pPr>
      <w:r>
        <w:separator/>
      </w:r>
    </w:p>
  </w:endnote>
  <w:endnote w:type="continuationSeparator" w:id="0">
    <w:p w14:paraId="15CE3D8F" w14:textId="77777777" w:rsidR="00B548F4" w:rsidRDefault="00B548F4" w:rsidP="0090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319A4" w14:textId="77777777" w:rsidR="00B548F4" w:rsidRDefault="00B548F4" w:rsidP="009071F5">
      <w:pPr>
        <w:spacing w:after="0" w:line="240" w:lineRule="auto"/>
      </w:pPr>
      <w:r>
        <w:separator/>
      </w:r>
    </w:p>
  </w:footnote>
  <w:footnote w:type="continuationSeparator" w:id="0">
    <w:p w14:paraId="6F9621EF" w14:textId="77777777" w:rsidR="00B548F4" w:rsidRDefault="00B548F4" w:rsidP="00907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651A" w14:textId="55CF74DB" w:rsidR="009071F5" w:rsidRDefault="004260C0">
    <w:pPr>
      <w:pStyle w:val="Zhlav"/>
    </w:pPr>
    <w:r>
      <w:rPr>
        <w:noProof/>
      </w:rPr>
      <w:drawing>
        <wp:anchor distT="0" distB="0" distL="114300" distR="114300" simplePos="0" relativeHeight="251658240" behindDoc="1" locked="0" layoutInCell="1" allowOverlap="1" wp14:anchorId="7B4EED5A" wp14:editId="1E040E9A">
          <wp:simplePos x="0" y="0"/>
          <wp:positionH relativeFrom="column">
            <wp:posOffset>-537845</wp:posOffset>
          </wp:positionH>
          <wp:positionV relativeFrom="paragraph">
            <wp:posOffset>-382905</wp:posOffset>
          </wp:positionV>
          <wp:extent cx="771525" cy="758825"/>
          <wp:effectExtent l="0" t="0" r="9525" b="3175"/>
          <wp:wrapTight wrapText="bothSides">
            <wp:wrapPolygon edited="0">
              <wp:start x="0" y="0"/>
              <wp:lineTo x="0" y="21148"/>
              <wp:lineTo x="21333" y="21148"/>
              <wp:lineTo x="21333" y="0"/>
              <wp:lineTo x="0" y="0"/>
            </wp:wrapPolygon>
          </wp:wrapTight>
          <wp:docPr id="18911924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588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13FDC"/>
    <w:multiLevelType w:val="hybridMultilevel"/>
    <w:tmpl w:val="E821094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501E3B"/>
    <w:multiLevelType w:val="hybridMultilevel"/>
    <w:tmpl w:val="C030E6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BFEBD1"/>
    <w:multiLevelType w:val="hybridMultilevel"/>
    <w:tmpl w:val="0FAEF3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CBCD7A"/>
    <w:multiLevelType w:val="hybridMultilevel"/>
    <w:tmpl w:val="1A1847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9F75EA"/>
    <w:multiLevelType w:val="hybridMultilevel"/>
    <w:tmpl w:val="B706E8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18E918"/>
    <w:multiLevelType w:val="hybridMultilevel"/>
    <w:tmpl w:val="67B6E0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E72D4E4"/>
    <w:multiLevelType w:val="hybridMultilevel"/>
    <w:tmpl w:val="AFFE70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F55ABA"/>
    <w:multiLevelType w:val="hybridMultilevel"/>
    <w:tmpl w:val="5F5CCC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5386F0C"/>
    <w:multiLevelType w:val="hybridMultilevel"/>
    <w:tmpl w:val="6F3BFE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DD522A2"/>
    <w:multiLevelType w:val="hybridMultilevel"/>
    <w:tmpl w:val="1FF9A90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5189B25"/>
    <w:multiLevelType w:val="hybridMultilevel"/>
    <w:tmpl w:val="829990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8424822">
    <w:abstractNumId w:val="7"/>
  </w:num>
  <w:num w:numId="2" w16cid:durableId="698824871">
    <w:abstractNumId w:val="3"/>
  </w:num>
  <w:num w:numId="3" w16cid:durableId="1435176321">
    <w:abstractNumId w:val="2"/>
  </w:num>
  <w:num w:numId="4" w16cid:durableId="918292548">
    <w:abstractNumId w:val="1"/>
  </w:num>
  <w:num w:numId="5" w16cid:durableId="163862149">
    <w:abstractNumId w:val="10"/>
  </w:num>
  <w:num w:numId="6" w16cid:durableId="264701219">
    <w:abstractNumId w:val="4"/>
  </w:num>
  <w:num w:numId="7" w16cid:durableId="932667394">
    <w:abstractNumId w:val="8"/>
  </w:num>
  <w:num w:numId="8" w16cid:durableId="1725640573">
    <w:abstractNumId w:val="5"/>
  </w:num>
  <w:num w:numId="9" w16cid:durableId="786699159">
    <w:abstractNumId w:val="9"/>
  </w:num>
  <w:num w:numId="10" w16cid:durableId="2125148782">
    <w:abstractNumId w:val="6"/>
  </w:num>
  <w:num w:numId="11" w16cid:durableId="135122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2D"/>
    <w:rsid w:val="000443CF"/>
    <w:rsid w:val="000768F2"/>
    <w:rsid w:val="000B26BE"/>
    <w:rsid w:val="001A5B6A"/>
    <w:rsid w:val="00247E5D"/>
    <w:rsid w:val="002C53FE"/>
    <w:rsid w:val="003538E6"/>
    <w:rsid w:val="0035733A"/>
    <w:rsid w:val="003A48CC"/>
    <w:rsid w:val="003A6011"/>
    <w:rsid w:val="0042318F"/>
    <w:rsid w:val="004260C0"/>
    <w:rsid w:val="006108E9"/>
    <w:rsid w:val="007240E8"/>
    <w:rsid w:val="00766597"/>
    <w:rsid w:val="00776E74"/>
    <w:rsid w:val="00895C54"/>
    <w:rsid w:val="009071F5"/>
    <w:rsid w:val="00976A2C"/>
    <w:rsid w:val="009B4BD3"/>
    <w:rsid w:val="009E62B3"/>
    <w:rsid w:val="00AA7037"/>
    <w:rsid w:val="00AB5952"/>
    <w:rsid w:val="00AD409E"/>
    <w:rsid w:val="00B548F4"/>
    <w:rsid w:val="00B81DC8"/>
    <w:rsid w:val="00C44585"/>
    <w:rsid w:val="00C51BB5"/>
    <w:rsid w:val="00C8496A"/>
    <w:rsid w:val="00CB152D"/>
    <w:rsid w:val="00D5537F"/>
    <w:rsid w:val="00DC4C7E"/>
    <w:rsid w:val="00E239D6"/>
    <w:rsid w:val="00F01291"/>
    <w:rsid w:val="00FC1B42"/>
    <w:rsid w:val="00FE43E0"/>
    <w:rsid w:val="00FE6D6F"/>
    <w:rsid w:val="00FF6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FC99E"/>
  <w15:chartTrackingRefBased/>
  <w15:docId w15:val="{A1A0C8DD-D456-43E6-829C-462AD237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B152D"/>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895C54"/>
    <w:rPr>
      <w:color w:val="0563C1"/>
      <w:u w:val="single"/>
    </w:rPr>
  </w:style>
  <w:style w:type="character" w:styleId="Sledovanodkaz">
    <w:name w:val="FollowedHyperlink"/>
    <w:basedOn w:val="Standardnpsmoodstavce"/>
    <w:uiPriority w:val="99"/>
    <w:semiHidden/>
    <w:unhideWhenUsed/>
    <w:rsid w:val="00AB5952"/>
    <w:rPr>
      <w:color w:val="954F72" w:themeColor="followedHyperlink"/>
      <w:u w:val="single"/>
    </w:rPr>
  </w:style>
  <w:style w:type="character" w:styleId="Nevyeenzmnka">
    <w:name w:val="Unresolved Mention"/>
    <w:basedOn w:val="Standardnpsmoodstavce"/>
    <w:uiPriority w:val="99"/>
    <w:semiHidden/>
    <w:unhideWhenUsed/>
    <w:rsid w:val="00AB5952"/>
    <w:rPr>
      <w:color w:val="605E5C"/>
      <w:shd w:val="clear" w:color="auto" w:fill="E1DFDD"/>
    </w:rPr>
  </w:style>
  <w:style w:type="paragraph" w:styleId="Odstavecseseznamem">
    <w:name w:val="List Paragraph"/>
    <w:basedOn w:val="Normln"/>
    <w:uiPriority w:val="34"/>
    <w:qFormat/>
    <w:rsid w:val="00C51BB5"/>
    <w:pPr>
      <w:ind w:left="720"/>
      <w:contextualSpacing/>
    </w:pPr>
  </w:style>
  <w:style w:type="character" w:customStyle="1" w:styleId="markedcontent">
    <w:name w:val="markedcontent"/>
    <w:basedOn w:val="Standardnpsmoodstavce"/>
    <w:rsid w:val="00C51BB5"/>
  </w:style>
  <w:style w:type="paragraph" w:styleId="Zhlav">
    <w:name w:val="header"/>
    <w:basedOn w:val="Normln"/>
    <w:link w:val="ZhlavChar"/>
    <w:uiPriority w:val="99"/>
    <w:unhideWhenUsed/>
    <w:rsid w:val="00907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71F5"/>
  </w:style>
  <w:style w:type="paragraph" w:styleId="Zpat">
    <w:name w:val="footer"/>
    <w:basedOn w:val="Normln"/>
    <w:link w:val="ZpatChar"/>
    <w:uiPriority w:val="99"/>
    <w:unhideWhenUsed/>
    <w:rsid w:val="00907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90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assets/cz/podnikani/dotace-a-podpora-podnikani/optak-2021-2027/aktivity/technologie/2023/4/Priloha-c--6---Nepodporovane-kategorie-CZ-NACE.pdf" TargetMode="External"/><Relationship Id="rId13" Type="http://schemas.openxmlformats.org/officeDocument/2006/relationships/hyperlink" Target="https://www.mpo.cz/assets/cz/podnikani/dotace-a-podpora-podnikani/optak-2021-2027/aktivity/technologie/2023/4/Priloha-c--2---Vymezeni-zpusobilych-vydaju.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po.cz/cz/podnikani/dotace-a-podpora-podnikani/optak-2021-2027/aktivity/technologie/technologie-pro-mas-clld-_-vyzva-i---273477/" TargetMode="Externa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s.hanackyvenkov.cz/op-t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mpo.cz/assets/cz/podnikani/dotace-a-podpora-podnikani/optak-2021-2027/aktivity/technologie/2023/4/Priloha-c--4---Pravidla-pro-zadatele-a-prijemce-z-OP-TAK---zvlastni-cast.pdf"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www.mpo.cz/assets/cz/podnikani/dotace-a-podpora-podnikani/optak-2021-2027/aktivity/technologie/2023/4/Priloha-c--3---Povinna-osnova-Podnikatelskeho-zamer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1379</Words>
  <Characters>8138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Frantisek Kopecky</dc:creator>
  <cp:keywords/>
  <dc:description/>
  <cp:lastModifiedBy>libor</cp:lastModifiedBy>
  <cp:revision>2</cp:revision>
  <dcterms:created xsi:type="dcterms:W3CDTF">2023-04-27T07:55:00Z</dcterms:created>
  <dcterms:modified xsi:type="dcterms:W3CDTF">2023-04-27T07:55:00Z</dcterms:modified>
</cp:coreProperties>
</file>